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8"/>
          <w:szCs w:val="28"/>
        </w:rPr>
      </w:pPr>
      <w:r>
        <w:rPr>
          <w:rFonts w:cs="Arial" w:ascii="Arial" w:hAnsi="Arial"/>
          <w:b/>
          <w:sz w:val="28"/>
          <w:szCs w:val="28"/>
        </w:rPr>
        <w:t>ÁLTALÁNOS ADATVÉDELMI SZABÁLYZAT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1. BEVEZETÉS</w:t>
      </w:r>
    </w:p>
    <w:p>
      <w:pPr>
        <w:pStyle w:val="Normal"/>
        <w:spacing w:lineRule="auto" w:line="240" w:before="0" w:after="0"/>
        <w:jc w:val="both"/>
        <w:rPr>
          <w:rFonts w:ascii="Arial" w:hAnsi="Arial" w:cs="Arial"/>
          <w:sz w:val="20"/>
          <w:szCs w:val="20"/>
        </w:rPr>
      </w:pPr>
      <w:r>
        <w:rPr>
          <w:rFonts w:cs="Arial" w:ascii="Arial" w:hAnsi="Arial"/>
          <w:sz w:val="20"/>
          <w:szCs w:val="20"/>
        </w:rPr>
        <w:t>Az CAR-TEX Halas Korlátolt Felelősségű Társaság (</w:t>
      </w:r>
      <w:bookmarkStart w:id="0" w:name="_Hlk7178681"/>
      <w:r>
        <w:rPr>
          <w:rFonts w:cs="Arial" w:ascii="Arial" w:hAnsi="Arial"/>
          <w:sz w:val="20"/>
          <w:szCs w:val="20"/>
        </w:rPr>
        <w:t>székhely: 6400 Kiskunhalas, Szénás utca 15., cégjegyzékszám: 03-09-104315, telefon: +3630/257-6590, e-mail: cartex@t-online.hu</w:t>
      </w:r>
      <w:bookmarkEnd w:id="0"/>
      <w:r>
        <w:rPr>
          <w:rFonts w:cs="Arial" w:ascii="Arial" w:hAnsi="Arial"/>
          <w:sz w:val="20"/>
          <w:szCs w:val="20"/>
        </w:rPr>
        <w:t>, a továbbiakban: „Adatkezelő”) a jelen adatvédelmi szabályzatban (a továbbiakban: „Szabályzat”) ismerteti, hogy hogyan gyűjti, használja, adja át, továbbítja és tárolja ügyfelei személyes adatait. Adatkezelő kijelenti, hogy a jelen Szabályzat megfelel a hatályos adatvédelmi szabályoknak.</w:t>
      </w:r>
    </w:p>
    <w:p>
      <w:pPr>
        <w:pStyle w:val="Normal"/>
        <w:spacing w:lineRule="auto" w:line="240" w:before="0" w:after="0"/>
        <w:jc w:val="both"/>
        <w:rPr>
          <w:rFonts w:ascii="Arial" w:hAnsi="Arial" w:cs="Arial"/>
          <w:sz w:val="20"/>
          <w:szCs w:val="20"/>
        </w:rPr>
      </w:pPr>
      <w:r>
        <w:rPr>
          <w:rFonts w:cs="Arial" w:ascii="Arial" w:hAnsi="Arial"/>
          <w:sz w:val="20"/>
          <w:szCs w:val="20"/>
        </w:rPr>
        <w:t>Adatkezelő bármikor jogosult a jelen Szabályzat egyoldalú megváltoztatására annak érdekében, hogy az a mindenkor hatályos jogszabályi rendelkezéseknek megfeleljen, ideértve az Adatkezelő szolgáltatásainak megváltozásával kapcsolatos módosításokat is. A jelen Szabályzat változásairól, a változással egyidejűleg tájékoztatjuk az érintetteket a www.cartex.hu honlapon.</w:t>
      </w:r>
    </w:p>
    <w:p>
      <w:pPr>
        <w:pStyle w:val="Normal"/>
        <w:spacing w:lineRule="auto" w:line="240" w:before="0" w:after="0"/>
        <w:jc w:val="both"/>
        <w:rPr>
          <w:rFonts w:ascii="Arial" w:hAnsi="Arial" w:cs="Arial"/>
          <w:sz w:val="20"/>
          <w:szCs w:val="20"/>
        </w:rPr>
      </w:pPr>
      <w:r>
        <w:rPr>
          <w:rFonts w:cs="Arial" w:ascii="Arial" w:hAnsi="Arial"/>
          <w:sz w:val="20"/>
          <w:szCs w:val="20"/>
        </w:rPr>
        <w:t xml:space="preserve">Amennyiben kérdése merül fel a jelen Szabályzattal kapcsolatban, kérjük, írja meg nekünk a cartex@t-online.hu e-mail címre és adatvédelmi tisztviselőnk válaszol a kérdéseire. A jelen Szabályzat és annak mindenkori módosításai megtalálhatóak a következő </w:t>
      </w:r>
      <w:r>
        <w:rPr>
          <w:rFonts w:cs="Arial" w:ascii="Arial" w:hAnsi="Arial"/>
          <w:color w:val="FF0000"/>
          <w:sz w:val="20"/>
          <w:szCs w:val="20"/>
        </w:rPr>
        <w:t>linken</w:t>
      </w:r>
      <w:r>
        <w:rPr>
          <w:rFonts w:cs="Arial" w:ascii="Arial" w:hAnsi="Arial"/>
          <w:sz w:val="20"/>
          <w:szCs w:val="20"/>
        </w:rPr>
        <w: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jelen Szabályzat kialakításakor az Adatkezelő tekintettel volt az alábbi jogszabályokra: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ListParagraph"/>
        <w:numPr>
          <w:ilvl w:val="0"/>
          <w:numId w:val="2"/>
        </w:numPr>
        <w:spacing w:lineRule="auto" w:line="240" w:before="0" w:after="0"/>
        <w:ind w:left="426" w:hanging="360"/>
        <w:jc w:val="both"/>
        <w:rPr>
          <w:rFonts w:ascii="Arial" w:hAnsi="Arial" w:cs="Arial"/>
          <w:sz w:val="20"/>
          <w:szCs w:val="20"/>
        </w:rPr>
      </w:pPr>
      <w:r>
        <w:rPr>
          <w:rFonts w:cs="Arial" w:ascii="Arial" w:hAnsi="Arial"/>
          <w:sz w:val="20"/>
          <w:szCs w:val="20"/>
        </w:rPr>
        <w:t>a természetes személyeknek a személyes adatok kezelése tekintetében történő védelméről és az ilyen adatok szabad áramlásáról, valamint a 95/46/EK rendelet hatályon kívül helyezéséről szóló 2016/679 Európai Parlament és Tanács (EU) rendelete (a továbbiakban: „GDPR”),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az információs önrendelkezési jogról és az információszabadságról szóló 2011. évi CXII. törvény („Infotv.”)</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Polgári Törvénykönyvről szóló 2013. évi V. törvény („Ptk.”)</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gazdasági reklámtevékenység alapvető feltételeiről és egyes korlátairól szóló 2008. évi XLVIII. törvény („Grt.”),</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az elektronikus kereskedelmi szolgáltatások, valamint információs társadalommal összefüggő szolgáltatások egyes kérdéseiről szóló 2001. évi CVIII. törvény („Eker. tv.”)</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kutatás és a közvetlen üzletszerzés célját szolgáló név- és lakcímadatok kezeléséről szóló 1995. évi CXIX. törvény („Direktmarketing tv.”)</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személy- és vagyonvédelmi, valamint a magán-nyomozói tevékenység szabályairól szóló 2005. évi CXXXIII. törvény („Szvtv.”)</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számvitelről szóló 2000. évi C. törvény („Számv. tv.”)</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az adózás rendjéről szóló 2017. évi CL. törvény („Art.”)</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fogyasztóvédelemről szóló 1997. évi CLV. törvény („Fgy. tv.”)</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postai szolgáltatásokról szóló 2012. évi CLIX. törvény („Posta tv.”)</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hitelintézetekről és a pénzügyi vállalkozásokról szóló 2013. évi CCXXXVII. törvény („Hpt.”);</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fogyasztó és vállalkozás közötti szerződés keretében eladott dolgokra vonatkozó szavatossági és jótállási igények intézésének eljárási szabályairól szóló 19/2014. (IV. 29.) NGM rendelet („Fgy. NGM rend.”);</w:t>
      </w:r>
    </w:p>
    <w:p>
      <w:pPr>
        <w:pStyle w:val="Normal"/>
        <w:spacing w:lineRule="auto" w:line="240" w:before="0" w:after="0"/>
        <w:ind w:left="426" w:hanging="0"/>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40" w:before="0" w:after="0"/>
        <w:ind w:left="426" w:hanging="360"/>
        <w:jc w:val="both"/>
        <w:rPr>
          <w:rFonts w:ascii="Arial" w:hAnsi="Arial" w:cs="Arial"/>
          <w:sz w:val="20"/>
          <w:szCs w:val="20"/>
        </w:rPr>
      </w:pPr>
      <w:r>
        <w:rPr>
          <w:rFonts w:cs="Arial" w:ascii="Arial" w:hAnsi="Arial"/>
          <w:sz w:val="20"/>
          <w:szCs w:val="20"/>
        </w:rPr>
        <w:t>a fluortartalmú üvegházhatású gázokkal és az ózonréteget lebontó anyagokkal kapcsolatos tevékenységek végzésének feltételeiről szóló 14/2015. (II. 10.) Korm. rendelet („Klímagáz rend.”);</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2. FOGALOM-MEGHATÁROZÁSOK</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jelen Szabályzatban szereplő alábbi fogalmak a következő jelentéstartalommal bírnak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adatfeldolgozó”: az a természetes vagy jogi személy, közhatalmi szerv, ügynökség vagy bármely egyéb szerv, amely az adatkezelő nevében személyes adatokat kezel;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adatkezelés korlátozása”: a tárolt személyes adatok megjelölése jövőbeli kezelésük korlátozása céljából;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hazai jog határozza meg, az adatkezelőt vagy az adatkezelő kijelölésére vonatkozó különös szempontokat az uniós vagy a hazai jog is meghatározhatja;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biometrikus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 A fényképek kezelését nem szükséges szisztematikusan különleges adatkezelésnek tekinteni, mivel azokra csak azokban az esetekben vonatkozik a biometrikus adatok fogalommeghatározása, amikor a természetes személy egyedi azonosítását vagy hitelesítését lehetővé tevő speciális eszközzel kezelik őket, a SZIGET nem vesz igénybe effajta speciális eszközöket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hazai joggal összhangban férhetnek hozzá személyes adatokhoz, nem minősülnek címzettnek; az említett adatok e közhatalmi szervek általi kezelése meg kell, hogy feleljen az adatkezelés céljainak megfelelően az alkalmazandó adatvédelmi szabályoknak;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cookie”: a cookie egy rövid szöveges fájl, amit a webszerverünk elküld az érintett eszközére (legyen szó bármilyen számítógépről mobiltelefontról vagy tabletről) és olvas vissza. Vannak ideiglenes (munkamenet vagy más néven session) cookie-k, amelyek automatikusan törlődnek az eszközéről, amikor bezárja a böngészőt, és vannak hosszabb élettartamú cookie-k, amelyek hosszabb ideig maradnak az érintett eszközén (ez függ az érintett eszközének beállításaitól is);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érintett” a személyes adat alapján azonosított vagy - közvetlenül vagy közvetve - azonosítható személy, amely mindig egy meghatározott személy kell, hogy legyen. Kizárólag természetes személyek minősülnek érintettnek, tehát jogi személyek nem, ezáltal az adatvédelem csak a természetes személyek adatait védi. Viszont személyes adatnak minősül például az egyéni vállalkozó vagy egy cég képviselőjének adata is (pl. telefonszáma, email címe, születési helye, ideje stb.).</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harmadik ország”: azon ország, amely az Európai Uniónak és az Európai Gazdasági Térségnek nem tagállama. Az Európai Unió tagállamai köthetnek olyan nemzetközi megállapodásokat, amelyek kiterjednek a személyes adatoknak a harmadik országok vagy a nemzetközi szervezetek részére történő továbbítására, ha e megállapodások nem érintik a GDPR vagy az uniós jog egyéb rendelkezéseit;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 xml:space="preserve">szaküzlet” az CAR-TEX Halas Kft. szaküzletei, melyek megnevezése és elérhetősége itt található: </w:t>
      </w:r>
      <w:r>
        <w:rPr>
          <w:rFonts w:cs="Arial" w:ascii="Arial" w:hAnsi="Arial"/>
          <w:color w:val="FF0000"/>
          <w:sz w:val="20"/>
          <w:szCs w:val="20"/>
        </w:rPr>
        <w:t>link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A természetes személyek továbbá összefüggésbe hozhatók az általuk használt készülékek, alkalmazások, eszközök és protokollok által rendelkezésre bocsátott online azonosítókkal, például IP-címekkel és cookie-azonosítókkal, valamint egyéb azonosítókkal, például rádiófrekvenciás azonosító címkékkel. Ezáltal olyan nyomok keletkezhetnek, amelyek egyedi azonosítókkal és a szerverek által fogadott egyéb információkkal összekapcsolva felhasználhatók a természetes személyek profiljának létrehozására és az adott személy azonosítására;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nemzetközi szervezet”: a nemzetközi közjog hatálya alá tartozó szervezet vagy annak alárendelt szervei, vagy olyan egyéb szerv, amelyet két vagy több ország közötti megállapodás hozott létre, vagy amely ilyen megállapodás alapján jött létre;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nyilvántartási rendszer”: a személyes adatok bármely módon – centralizált, decentralizált vagy funkcionális, vagy földrajzi szempontok szerint – tagolt állománya, amely meghatározott ismérvek alapján hozzáférhető;</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vállalkozás”: gazdasági tevékenységet folytató természetes vagy jogi személy, függetlenül a jogi formájától, ideértve a rendszeres gazdasági tevékenységet folytató személyegyesítő társaságokat és egyesületeket is;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w:t>
      </w:r>
      <w:r>
        <w:rPr>
          <w:rFonts w:cs="Arial" w:ascii="Arial" w:hAnsi="Arial"/>
          <w:sz w:val="20"/>
          <w:szCs w:val="20"/>
        </w:rPr>
        <w:t>adatvédelmi tisztviselő”: Adatkezelő, különös tekintettel arra, hogy webáruház üzemeltetési tevékenysége olyan adatkezelési műveleteket is foglalnak magukban, amelyek jellegüknél, hatókörüknél és/vagy céljaiknál fogva az érintettek rendszeres és szisztematikus, nagymértékű megfigyelését teszik szükségessé (különösen, de nem kizárólagosan figyelembe véve az Adatkezelő ügyfeleinek számát és a webáruházhoz kapcsolódó, az ügyfelek hozzájárulásán alapuló retargeting viselkedési alapú reklámozási, illetve profilalkotási tevékenységet) adatvédelmi tisztviselőt jelölt ki.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Adatkezelő biztosítja, hogy az adatvédelmi tisztviselő a személyes adatok védelmével kapcsolatos összes ügybe megfelelő módon és időben bekapcsolódjon. Az adatvédelmi tisztviselő a feladatai ellátásával kapcsolatban utasításokat senkitől nem fogadhat el, feladatai ellátása kapcsán senki nem utasíthatja, feladatai ellátásával összefüggésben nem bocsájtható el és nem is szankcionálható. Az adatvédelmi tisztviselő közvetlenül az Adatkezelő igazgatóságának tartozik felelősséggel, azaz véleménye és tanácsai kapcsán közvetlenül a Munkáltató igazgatósága felé jogosult és köteles közvetlenül jelentést tenni.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érintettek a személyes adataik kezeléséhez és a GDPR szerinti jogaik gyakorlásához kapcsolódó valamennyi kérdésben az adatvédelmi tisztviselőhöz fordulhatnak. Az adatvédelmi tisztviselőt feladatai teljesítésével kapcsolatban titoktartási kötelezettség, illetve az adatok bizalmas kezelésére vonatkozó kötelezettség köti.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adatvédelmi tisztviselő alapvetően a következő feladatokat látja el: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tájékoztat és szakmai tanácsot ad az Adatkezelő, továbbá az adatkezelést végző alkalmazottak részére a GDPR, valamint az egyéb uniós vagy tagállami adatvédelmi rendelkezések szerinti kötelezettségeikkel kapcsolatban;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b) ellenőrzi a GDPR-nak, valamint az egyéb uniós vagy tagállami adatvédelmi rendelkezéseknek, továbbá az Adatkezelő személyes adatok védelmével kapcsolatos belső szabályainak való megfelelést, ideértve a feladatkörök kijelölését, az adatkezelési műveletekben részt vevő személyzet tudatosság-növelését és képzését, valamint a kapcsolódó auditokat is;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 kérésre szakmai tanácsot ad az adatvédelmi hatásvizsgálatra vonatkozóan, valamint nyomon követi a hatásvizsgálat GDPR 35. cikk szerinti elvégzését;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 együttműködik a felügyeleti hatósággal; és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 az adatkezeléssel összefüggő ügyekben – ideértve a GDPR 36. cikkben említett előzetes konzultációt is – kapcsolattartó pontként szolgál a felügyeleti hatóság felé, valamint adott esetben bármely egyéb kérdésben konzultációt folytat vele.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adatvédelmi tisztviselő feladatait az adatkezelési műveletekhez fűződő kockázat megfelelő figyelembevételével, az adatkezelés jellegére, hatókörére, körülményére és céljára is tekintettel végzi.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adatvédelmi tisztviselőjének nevét és elérhetőségét a jelen Szabályzat 4.1. b) pontja tartalmazza.</w:t>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p>
    <w:p>
      <w:pPr>
        <w:pStyle w:val="Normal"/>
        <w:spacing w:lineRule="auto" w:line="240" w:before="0" w:after="0"/>
        <w:jc w:val="both"/>
        <w:rPr>
          <w:rFonts w:ascii="Arial" w:hAnsi="Arial" w:cs="Arial"/>
          <w:b/>
          <w:b/>
          <w:sz w:val="20"/>
          <w:szCs w:val="20"/>
        </w:rPr>
      </w:pPr>
      <w:r>
        <w:rPr>
          <w:rFonts w:cs="Arial" w:ascii="Arial" w:hAnsi="Arial"/>
          <w:b/>
          <w:sz w:val="20"/>
          <w:szCs w:val="20"/>
        </w:rPr>
        <w:t>3. AZ ADATKEZELÉSRE VONATKOZÓ ELVEK ISMERTETÉSE</w:t>
      </w:r>
    </w:p>
    <w:p>
      <w:pPr>
        <w:pStyle w:val="Normal"/>
        <w:spacing w:lineRule="auto" w:line="240" w:before="0" w:after="0"/>
        <w:jc w:val="both"/>
        <w:rPr>
          <w:rFonts w:ascii="Arial" w:hAnsi="Arial" w:cs="Arial"/>
          <w:sz w:val="20"/>
          <w:szCs w:val="20"/>
        </w:rPr>
      </w:pPr>
      <w:r>
        <w:rPr>
          <w:rFonts w:cs="Arial" w:ascii="Arial" w:hAnsi="Arial"/>
          <w:sz w:val="20"/>
          <w:szCs w:val="20"/>
        </w:rPr>
        <w:t>Az Adatkezelő a személyes adatokat jogszerűen és tisztességesen, az érintettek számára átlátható módon, a jelen Szabályzatban, ill. az annak mellékletét képező dokumentumokban meghatározott, egyértelmű és jogszerű célokból kezeli („célhoz kötöttség elve szerint”). Az adatkezelés az Adatkezelő céljainak eléréséhez szükséges mértékre korlátozódik („adattakarékosság”). A pontosság elvének megfelelően Adatkezelő biztosítja, hogy az általa kezelt személyes adatok naprakészek, ennek érdekében Adatkezelő minden ésszerű intézkedést megtesz, hogy az adatkezelés céljai szempontjából pontatlan személyes adatokat haladéktalanul törölje vagy helyesbítse („pontosság elve”). Adatkezelő tudomásul veszi, hogy a személyes adatokat csak a céljainak eléréséhez szükséges ideig tárolhatja („korlátozott tárolhatóság elve”). Adatkezelő az adatok kezelését oly módon végzi, hogy a megfelelő technikai vagy szervezési intézkedések alkalmazásával biztosítva legyen a személyes adatok megfelelő biztonsága, ideértve az adatok jogosulatlan vagy jogellenes kezelésével, véletlen elvesztésével, megsemmisítésével vagy károsodásával szembeni védelmet is („integritás és bizalmas jelleg”). Ezen adatkezelési elvnek való megfelelés érdekében tett adatbiztonsági intézkedéseket a jelen Szabályzat 9.8 pontja tartalmazza. Adatkezelő a bemutatott elveknek való megfelelés igazolása érdekében az egyes adatkezelési műveleteiről belső adatkezelési nyilvántartásokat vezet („elszámoltathatóság elve”).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Ezen Szabályzatban foglalt elvek a személyes adatokkal kapcsolatos gyakorlatunkat ismertetik. Adatkezelési elveink érvényesek a papíralapú adatkezelésekre, valamint valamennyi, az Adatkezelő által üzemeltetett eszközre, webhelyre, ügyfélszolgálati platformra vagy egyéb online alkalmazásra, amely internetes hivatkozással vagy egyéb módon hivatkozik rájuk. Azonban ahol a jelen Szabályzat az egyes adatkezelési tevékenységeinknél, azokra vonatkozó adatkezelési műveletekkel összefüggésben külön adatkezelési tájékoztatót illetve szabályzatra utal, ott külön tájékoztatót illetve szabályzatot is bocsátunk az érintettek rendelkezésére. Ezen szabályzatok és tájékoztatók a jelen Szabályzat mellékleteit és egyben részét képezik, azzal, hogy amennyiben egy mellékletet képző szabályzat vagy tájékoztató kifejezetten másként nem rendelkezik, úgy ott a jelen Szabályzatban foglaltak megfelelően irányadóak.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4. AZ ADATKEZELÉSSEL KAPCSOLATOS ÁLTALÁNOS INFORMÁCIÓK</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érintett személyes adatait Adatkezelő az érintett által igénybe vett szolgáltatások biztosításához, az érintett igénybe vevői élményének javítása érdekében kezeli. Adatkezelő az alábbi célokból illetve az alább felsorolt tevékenységek kapcsán végez személyes adatok kezelésével járó adatkezelést: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a www.cartex.hu oldalon történő vásárlások és az ott nyújtott szolgáltatások során,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b) a hírlevelekre történő feliratkozás során,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 promóciók, nyereményjátékok lebonyolítása során,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 az Adatkezelő székhelyén történő vásárlások és az ott nyújtott szolgáltatások során,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 ügyfélszolgálat, panaszkezelés során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f) hitel- és biztosításközvetítéssel kapcsolatos adatkezelések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g) a személy- és vagyonvédelmi célból alkalmazott elektronikus megfigyelőrendszerek működtetése során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 munkajogi, valamint munkavégzésre irányuló jogviszonnyal összefüggő tevékenység során.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p>
    <w:p>
      <w:pPr>
        <w:pStyle w:val="Normal"/>
        <w:spacing w:lineRule="auto" w:line="240" w:before="0" w:after="0"/>
        <w:jc w:val="both"/>
        <w:rPr>
          <w:rFonts w:ascii="Arial" w:hAnsi="Arial" w:cs="Arial"/>
          <w:b/>
          <w:b/>
          <w:sz w:val="20"/>
          <w:szCs w:val="20"/>
        </w:rPr>
      </w:pPr>
      <w:r>
        <w:rPr>
          <w:rFonts w:cs="Arial" w:ascii="Arial" w:hAnsi="Arial"/>
          <w:b/>
          <w:sz w:val="20"/>
          <w:szCs w:val="20"/>
        </w:rPr>
        <w:t>4.1. Általános információk az egyes fenti adatkezelések kapcsán: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a) adatkezelő és elérhetőségei: az CAR-TEX Halas Kft. (székhely: 6400 Kiskunhalas, Szénás utca 15. cégjegyzékszám: 03-09-104315, telefon: </w:t>
      </w:r>
      <w:bookmarkStart w:id="1" w:name="_Hlk7172290"/>
      <w:r>
        <w:rPr>
          <w:rFonts w:cs="Arial" w:ascii="Arial" w:hAnsi="Arial"/>
          <w:sz w:val="20"/>
          <w:szCs w:val="20"/>
        </w:rPr>
        <w:t>+3630/257-6590</w:t>
      </w:r>
      <w:bookmarkEnd w:id="1"/>
      <w:r>
        <w:rPr>
          <w:rFonts w:cs="Arial" w:ascii="Arial" w:hAnsi="Arial"/>
          <w:sz w:val="20"/>
          <w:szCs w:val="20"/>
        </w:rPr>
        <w:t>, e-mail: cartex@t-online.hu, webcím: www.cartex.hu);</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color w:val="000000"/>
        </w:rPr>
      </w:pPr>
      <w:r>
        <w:rPr>
          <w:rFonts w:cs="Arial" w:ascii="Arial" w:hAnsi="Arial"/>
          <w:color w:val="000000"/>
          <w:sz w:val="20"/>
          <w:szCs w:val="20"/>
        </w:rPr>
        <w:t xml:space="preserve">b) adatvédelmi tisztviselő és elérhetősége: -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 személyes adatok kezelésének célja és jogalapja: egyes adatkezeléseknél alább, illetve a kapcsolódó mellékletben meghatározva;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 személyes adatok tárolásának időtartama vagy ezen időtartam meghatározásának szempontjai: egyes adatkezeléseknél alább, illetve kapcsolódó mellékletekben meghatározva;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 az érintettek a jelen Szabályzat 9. pontjában meghatározottak szerint jogosultak kérelmezni az Adatkezelőtől a rá vonatkozó személyes adatokhoz való hozzáférést, azok helyesbítését, törlését vagy kezelésének korlátozását és tiltakozhat az ilyen személyes adatok kezelése ellen, valamint élhet adathordozhatósági jogával is.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minden szükséges esetben előzetesen elvégezte, illetve alkalmazza az érdekmérlegelési tesztet, tekintettel van a szükségesség és arányosság követelményére, a fokozatosság elvére, az előzetes tájékoztatás követelményére.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 AZ EGYES ADATKEZELÉSSEL KAPCSOLATOS ÁLTALÁNOS INFORMÁCIÓK</w:t>
      </w:r>
    </w:p>
    <w:p>
      <w:pPr>
        <w:pStyle w:val="Normal"/>
        <w:spacing w:lineRule="auto" w:line="240" w:before="0" w:after="0"/>
        <w:jc w:val="both"/>
        <w:rPr>
          <w:rFonts w:ascii="Arial" w:hAnsi="Arial" w:cs="Arial"/>
          <w:b/>
          <w:b/>
          <w:sz w:val="20"/>
          <w:szCs w:val="20"/>
        </w:rPr>
      </w:pPr>
      <w:r>
        <w:rPr>
          <w:rFonts w:cs="Arial" w:ascii="Arial" w:hAnsi="Arial"/>
          <w:b/>
          <w:sz w:val="20"/>
          <w:szCs w:val="20"/>
        </w:rPr>
        <w:t xml:space="preserve"> </w:t>
      </w:r>
    </w:p>
    <w:p>
      <w:pPr>
        <w:pStyle w:val="Normal"/>
        <w:spacing w:lineRule="auto" w:line="240" w:before="0" w:after="0"/>
        <w:jc w:val="both"/>
        <w:rPr>
          <w:rFonts w:ascii="Arial" w:hAnsi="Arial" w:cs="Arial"/>
          <w:b/>
          <w:b/>
          <w:sz w:val="20"/>
          <w:szCs w:val="20"/>
        </w:rPr>
      </w:pPr>
      <w:r>
        <w:rPr>
          <w:rFonts w:cs="Arial" w:ascii="Arial" w:hAnsi="Arial"/>
          <w:b/>
          <w:sz w:val="20"/>
          <w:szCs w:val="20"/>
        </w:rPr>
        <w:t>5.1. A www.cartex.hu oldalon történő vásárlások és az ott nyújtott szolgáltatások során végzett adatkezelések</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5.1.1. Regisztráció a www.cartex.hu oldalon, ügyfélszolgálat, panaszkezelés és a Facebook oldalon megadott személyes adatok.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adatkezelés célja az CAR-TEX Halas Kft. webáruházában történő vásárlás, számla kiállítása, a vásárlók nyilvántartása, egymástól való megkülönböztetése, a megrendelések teljesítése, a vásárlás és fizetés dokumentálása, a számviteli kötelezettség teljesítése, a vásárlói kapcsolattartás, a vásárlói szokások elemzése, a célzottabb kiszolgálás, a direktmarketing tartalmú megkeresések, valamint tájékoztatás az aktuális információkról, akciós ajánlatokról, ügyfélszolgálat, panaszkezelés.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fenti adatkezelési tevékenységet részletesebben bemutató Tájékoztatónkat itt találják, mely egyben a jelen Szabályzat 1. sz. mellékletét képezi: Weboldalon történő vásárlással kapcsolatos adatkezelési tájékoztató.</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5.1.2. A www.cartex.hu oldalon történő hírlevél feliratkozások során végzett adatkezelések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Hírlevelekre egyrészt a honlapon történő regisztrációval egyidejűleg, vagy regisztráció nélkül is fel lehet iratkozni. Az adatkezelés fő célja hogy az érintettek részére az Adatkezelő marketing tartalmú megkereséseket küldjön. Az Adatkezelő felhasználhatja az adatokat marketingcélú kutatásokhoz és felmérésekhez. A vonatkozó jogszabályi előírásoknak megfelelően az Adatkezelő nyilvántartást vezet azon természetes személyekről, akik a hírlevél-szolgáltatásra feliratkoztak. A nyilvántartásban nem szereplő természetes személyek részére az Adatkezelő nem küld hírleveleket.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fenti adatkezelési tevékenységet részletesebben bemutató Tájékoztatónkat itt találják, mely egyben a jelen Szabályzat 2. sz. mellékletét képezi: Hírlevéllel kapcsolatos adatkezelési tájékoztató.</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5.2. Az CAR-TEX Halas Kft. székhelyén történő vásárlások és az ott nyújtott szolgáltatások során végzett adatkezelések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Adatkezelő a vásárlói adatokat </w:t>
      </w:r>
      <w:r>
        <w:rPr>
          <w:rFonts w:cs="Arial" w:ascii="Arial" w:hAnsi="Arial"/>
          <w:color w:val="000000"/>
          <w:sz w:val="20"/>
          <w:szCs w:val="20"/>
        </w:rPr>
        <w:t>a Win-Tax</w:t>
      </w:r>
      <w:r>
        <w:rPr>
          <w:rFonts w:cs="Arial" w:ascii="Arial" w:hAnsi="Arial"/>
          <w:color w:val="FF0000"/>
          <w:sz w:val="20"/>
          <w:szCs w:val="20"/>
        </w:rPr>
        <w:t xml:space="preserve"> </w:t>
      </w:r>
      <w:r>
        <w:rPr>
          <w:rFonts w:cs="Arial" w:ascii="Arial" w:hAnsi="Arial"/>
          <w:sz w:val="20"/>
          <w:szCs w:val="20"/>
        </w:rPr>
        <w:t>nevű ügyviteli rendszerében tárolja elektronikus formában. A papír alapon keletkezett, személyes adatokat tartalmazó dokumentumok is megőrzésre kerülnek a jelen 5.2 pontban meghatározott időtartamig.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 xml:space="preserve"> </w:t>
      </w:r>
      <w:r>
        <w:rPr>
          <w:rFonts w:cs="Arial" w:ascii="Arial" w:hAnsi="Arial"/>
          <w:b/>
          <w:sz w:val="20"/>
          <w:szCs w:val="20"/>
        </w:rPr>
        <w:t>5.2.1. Az adatkezelés célja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CAR-TEX Halas Kft. székhelyén történő vásárlás, megrendelés, a számla kiállítása, a vásárlók nyilvántartása, egymástól való megkülönböztetése, a megrendelések teljesítése, a vásárlás és fizetés dokumentálása, számviteli kötelezettség teljesítése, termékek félre tétele, vásárlói kapcsolattartás.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kezelt személyes adatok köre: tranzakció száma, dátuma és időpontja, bizonylat tartalma, ÁFA-s számla esetén név, cím és adóazonosító jel, a vásárolt termékek megnevezése, mennyisége, vételára, fizetési mód.</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5.2.2. Az adatkezelés jogalapja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adatkezelés jogalapja a termék és szolgáltatás-értékesítés és termék félre tétele esetén az érintett hozzájárulása az, Info. tv. 5.§ (1) a) pontja és a GDPR 6. cikk (1) bekezdés a) pontja alapján, valamint szerződés teljesítése a GDPR 6. cikk (1) bekezdés b) pontja alapján;</w:t>
      </w:r>
    </w:p>
    <w:p>
      <w:pPr>
        <w:pStyle w:val="Normal"/>
        <w:spacing w:lineRule="auto" w:line="240" w:before="0" w:after="0"/>
        <w:jc w:val="both"/>
        <w:rPr>
          <w:rFonts w:ascii="Arial" w:hAnsi="Arial" w:cs="Arial"/>
          <w:sz w:val="20"/>
          <w:szCs w:val="20"/>
        </w:rPr>
      </w:pPr>
      <w:r>
        <w:rPr>
          <w:rFonts w:cs="Arial" w:ascii="Arial" w:hAnsi="Arial"/>
          <w:sz w:val="20"/>
          <w:szCs w:val="20"/>
        </w:rPr>
        <w:t>a vásárlás és a fizetés dokumentálása, a számviteli kötelezettség teljesítése, valamint a számlakiállítás és a fizetés lebonyolítása során jogi kötelezettség teljesítése a GDPR 6. cikk (1) bekezdés c) pontja, valamint a Számvit. tv. 169.§ (2) bekezdése és az Áfa tv. 169.§ alapján;</w:t>
      </w:r>
    </w:p>
    <w:p>
      <w:pPr>
        <w:pStyle w:val="Normal"/>
        <w:spacing w:lineRule="auto" w:line="240" w:before="0" w:after="0"/>
        <w:jc w:val="both"/>
        <w:rPr>
          <w:rFonts w:ascii="Arial" w:hAnsi="Arial" w:cs="Arial"/>
          <w:sz w:val="20"/>
          <w:szCs w:val="20"/>
        </w:rPr>
      </w:pPr>
      <w:r>
        <w:rPr>
          <w:rFonts w:cs="Arial" w:ascii="Arial" w:hAnsi="Arial"/>
          <w:sz w:val="20"/>
          <w:szCs w:val="20"/>
        </w:rPr>
        <w:t>a vásárló beazonosítása és a vele való kapcsolattartás és a megrendelt termék (illetve szolgáltatás) teljesítése során az érintett hozzájárulása az, Info. tv. 5.§ (1) a) pontja, a GDPR 6. cikk (1) bekezdés a) pontja, és szerződés teljesítése a GDPR 6. cikk (1) bekezdés b) pontja alapján;</w:t>
      </w:r>
    </w:p>
    <w:p>
      <w:pPr>
        <w:pStyle w:val="Normal"/>
        <w:spacing w:lineRule="auto" w:line="240" w:before="0" w:after="0"/>
        <w:jc w:val="both"/>
        <w:rPr>
          <w:rFonts w:ascii="Arial" w:hAnsi="Arial" w:cs="Arial"/>
          <w:sz w:val="20"/>
          <w:szCs w:val="20"/>
        </w:rPr>
      </w:pPr>
      <w:r>
        <w:rPr>
          <w:rFonts w:cs="Arial" w:ascii="Arial" w:hAnsi="Arial"/>
          <w:sz w:val="20"/>
          <w:szCs w:val="20"/>
        </w:rPr>
        <w:t>kártyás fizetés során a visszaélésgyanús tranzakciók kiszűrése esetén jogos érdek a GDPR 6. cikk (1) bekezdés (f) pontja alapján.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5.2.3. Az adatkezelés időtartama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adatkezelés időtartama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szerződés teljesítéséig illetve a Ptk. 6:22. § alapján a vásárlás időpontjától számított 5 évig;</w:t>
      </w:r>
    </w:p>
    <w:p>
      <w:pPr>
        <w:pStyle w:val="Normal"/>
        <w:spacing w:lineRule="auto" w:line="240" w:before="0" w:after="0"/>
        <w:jc w:val="both"/>
        <w:rPr>
          <w:rFonts w:ascii="Arial" w:hAnsi="Arial" w:cs="Arial"/>
          <w:sz w:val="20"/>
          <w:szCs w:val="20"/>
        </w:rPr>
      </w:pPr>
      <w:r>
        <w:rPr>
          <w:rFonts w:cs="Arial" w:ascii="Arial" w:hAnsi="Arial"/>
          <w:sz w:val="20"/>
          <w:szCs w:val="20"/>
        </w:rPr>
        <w:t>ha az adatokat az Adatkezelő a Számv. tv. alapján köteles megőrizni termék, illetve szolgáltatás vásárlása esetén a Számv. tv. 169. § (2) bekezdése alapján nyolc évig;</w:t>
      </w:r>
    </w:p>
    <w:p>
      <w:pPr>
        <w:pStyle w:val="Normal"/>
        <w:spacing w:lineRule="auto" w:line="240" w:before="0" w:after="0"/>
        <w:jc w:val="both"/>
        <w:rPr>
          <w:rFonts w:ascii="Arial" w:hAnsi="Arial" w:cs="Arial"/>
          <w:sz w:val="20"/>
          <w:szCs w:val="20"/>
        </w:rPr>
      </w:pPr>
      <w:r>
        <w:rPr>
          <w:rFonts w:cs="Arial" w:ascii="Arial" w:hAnsi="Arial"/>
          <w:sz w:val="20"/>
          <w:szCs w:val="20"/>
        </w:rPr>
        <w:t>a termékek félre tétele, megrendelése esetén a vásárló neve, telefonszáma az értesítéséig, a termék megvásárlásáig, a további adatok tekintetében pedig a Számv. tv. 169. § (2) bekezdésének megfelelően nyolc évig.</w:t>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p>
    <w:p>
      <w:pPr>
        <w:pStyle w:val="Normal"/>
        <w:spacing w:lineRule="auto" w:line="240" w:before="0" w:after="0"/>
        <w:jc w:val="both"/>
        <w:rPr>
          <w:rFonts w:ascii="Arial" w:hAnsi="Arial" w:cs="Arial"/>
          <w:b/>
          <w:b/>
          <w:sz w:val="20"/>
          <w:szCs w:val="20"/>
        </w:rPr>
      </w:pPr>
      <w:r>
        <w:rPr>
          <w:rFonts w:cs="Arial" w:ascii="Arial" w:hAnsi="Arial"/>
          <w:b/>
          <w:sz w:val="20"/>
          <w:szCs w:val="20"/>
        </w:rPr>
        <w:t>5.2.4. Adattovábbítások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5.3. Az CAR-TEX Halas Kft. székhelyén lévő ügyfélszolgálata és panaszkezelése során végzett adatkezelések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5.3.1. Ügyfélszolgálat és panaszkezelés, garancia 40 szolgáltatás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adatkezelés célja az Adatkezelő által eladott termékekkel kapcsolatosan felmerülő minőségi kifogások, panaszok kezelése. Az adatkezelés jogalapja: az érintett önkéntes hozzájárulása, és a Fgytv.17/A. § (7) bekezdése. A kezelt személyes adatok típusa: azonosítószám, a fogyasztó neve, címe, a fogyasztási cikk megnevezése, vételára, a vásárlás és a hiba bejelentésnek időpontja, a hiba leírása, a fogyasztó által érvényesíteni kívánt igény és a kifogás rendezésének módja. Az adatkezelés időtartama a panaszról felvett jegyzőkönyvek és az írásbeli panaszokra adott válaszok másolati példányai tekintetében az Fgytv. 17/A. § (7) bekezdése alapján öt év.</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5.3.2. Garanciális ügyintézés, garanciafutár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adatkezelés célja az Adatkezelő által forgalmazott termékek javítása, szervizszolgáltatás. Az adatkezelés jogalapja: az érintett önkéntes hozzájárulása és a 19/2014. (IV. 29.) NGM rendelet 4.§ (1) bekezdése. A kezelt személyes adatok típusa: azonosítószám, a fogyasztó neve, címe, telefonszáma, e-mail címe, dátum, aláírás. Az adatkezelés időtartama: 19/2014. (IV. 29.) NGM rendelet 4. § (6) bekezdése alapján három év.</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5.4. Az CAR-TEX Halas Kft. székhelyén talált tárgyak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adatkezelés célja a székhelyén talált tárgyak nyilvántartása, a tulajdonos illetve a találó értesítése. Az adatkezelés jogalapja: a Ptk. 5:54. §-a. A kezelt személyes adatok típusa: a találó neve, címe, a talált tárgy megnevezése, raktározás helye, találó aláírása, átvevő aláírása. Az adatkezelés időtartama: az adatok törlésre, megsemmisítésre kerülnek a talált tárgy tulajdonos általi átvétele vagy a települési jegyzőnek átadás esetén az átadást követően, értékesítés esetében az értékesítést követő 30 nap. elteltével.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6. SZEMÉLY- ÉS VAGYONVÉDELMI CÉLBÓL ALKALMAZOTT ELEKTRONIKUS MEGFIGYELŐRENDSZEREK</w:t>
      </w:r>
    </w:p>
    <w:p>
      <w:pPr>
        <w:pStyle w:val="Normal"/>
        <w:spacing w:lineRule="auto" w:line="240" w:before="0" w:after="0"/>
        <w:jc w:val="both"/>
        <w:rPr>
          <w:rFonts w:ascii="Arial" w:hAnsi="Arial" w:cs="Arial"/>
          <w:sz w:val="20"/>
          <w:szCs w:val="20"/>
        </w:rPr>
      </w:pPr>
      <w:r>
        <w:rPr>
          <w:rFonts w:cs="Arial" w:ascii="Arial" w:hAnsi="Arial"/>
          <w:sz w:val="20"/>
          <w:szCs w:val="20"/>
        </w:rPr>
        <w:t>Adatkezelő tájékoztatja az érintetteket, hogy a raktárainak helyt adó ingatlanokon elektronikus megfigyelőrendszereket (kamera) működtet. A kamerarendszerek közvetlen és rögzített megfigyelést tesznek lehetővé. Valamennyi kamerarendszer tekintetében az Adatkezelő tájékoztatja továbbá az érintetteket, hogy azok az Szvtv-ben foglaltaknak megfelelően kizárólag vagyonvédelmi célból kerülnek az Adatkezelő által alkalmazásra, azzal, hogy mindegyik kamerarendszer tekintetében az adatkezeléssel érintettek lehetnek az Adatkezelő munkavállalói és a ingatlaninak területeire belépő, nem az Adatkezelő alkalmazásában álló személyek egyaránt.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által vagyonvédelmi célból alkalmazott elektronikus megfigyelőrendszerekkel kapcsolatos további részletes információkat a jelen Szabályzat 4. sz. mellékletekét képező, az Adatkezelő Elektronikus Megfigyelőrendszerének Alkalmazásáról szóló Adatvédelmi Tájékoztató tartalmaz, mely az alábbi linken érhető el.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7. MUNKAJOGI, VALAMINT MUNKAVÉGZÉSRE IRÁNYULÓ JOGVISZONNYAL ÖSSZEFÜGGŐ ADATKEZELÉSEK</w:t>
      </w:r>
    </w:p>
    <w:p>
      <w:pPr>
        <w:pStyle w:val="Normal"/>
        <w:spacing w:lineRule="auto" w:line="240" w:before="0" w:after="0"/>
        <w:jc w:val="both"/>
        <w:rPr>
          <w:rFonts w:ascii="Arial" w:hAnsi="Arial" w:cs="Arial"/>
          <w:sz w:val="20"/>
          <w:szCs w:val="20"/>
        </w:rPr>
      </w:pPr>
      <w:r>
        <w:rPr>
          <w:rFonts w:cs="Arial" w:ascii="Arial" w:hAnsi="Arial"/>
          <w:sz w:val="20"/>
          <w:szCs w:val="20"/>
        </w:rPr>
        <w:t>Adatkezelő tájékoztatja az érintetteket, hogy fő szabály szerint kizárólag kilétének megjelölésével tesz közzé álláshirdetést. Az adatvédelmi hatóság iránymutatását figyelembe véve csak különösen indokolt, rendkívüli esetben, és akkor is legfeljebb korlátozott mértékben (például egy rövid, átmeneti időtartamig) kerül sor anonim álláshirdetés közzétételére és így kapott pályázati anyagok kezelésére az Adatkezelő által.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tájékoztatja továbbá az érintetteket, hogy fő szabály szerint pályázati anyagikat azok beérkezésétől számított egy évig tárolja, annak érdekében, hogy esetlegesen felmerülő toborzási igényeihez ezen időszak alatt felhasználja. Amennyiben az érintett nem konkrét hirdetés kapcsán nyújtja be pályázatát, úgy az Adatkezelő a legrövidebb ésszerű időn belül minden esetben az adott pályázónak legfeljebb 3 munkanapos határidőt szabva írásbeli megerősítést kér arra vonatkozóan, hogy az előbbieknek megfelelően tárolhassa a kapott pályázati dokumentumokat, illetve a pályázó kapcsolódó személyes adatait. Amennyiben megerősítés a szabott határidőn belül nem érkezik, úgy az Adatkezelő nem tárolja, illetve kezeli tovább az iratokat illetve a kapcsolódó személyes adatokat.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munkáltató erről a munkára jelentkezőket honlapján valamint az egyes feladott álláshirdetések keretében is tájékoztatja. Ennek megfelelően ezen pályázati anyagok tárolásának jogalapja az érintett önkéntes hozzájárulása (GDPR 6. cikk (1) bekezdés a) pont). A pályázati anyagokhoz a Munkaügyi csoportvezető, a munkaügyi osztály illetékes kollegái, illetve kiválasztási folyamat során döntéshozatalra jogosult illetékes munkatársak férhetnek hozzá.</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munkavállalókkal kapcsolatos adatkezelésekre vonatkozó további részletes információkat a jelen Szabályzat 5. sz. mellékletét képező, az Adatkezelő munkavállalókra, illetve alkalmazásában állókra vonatkozó adatkezelési szabályzata tartalmaz, mely dokumentum nem nyilvános.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 AZ ÉRINTETTEK JOGAIRÓL VALÓ TÁJÉKOZTATÁS</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8.1. A tájékoztatáshoz, valamint a kezelt személyes adatokhoz való hozzáféréshez való jog: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az adatkezelés céljai;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b) az érintett személyes adatok kategóriái;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 azon címzettek vagy címzettek kategóriái, akikkel, illetve amelyekkel a személyes adatokat közölték vagy közölni fogják, ideértve különösen a harmadik országbeli címzetteket, illetve a nemzetközi szervezeteket;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 adott esetben a személyes adatok tárolásának tervezett időtartama, vagy ha ez nem lehetséges, ezen időtartam meghatározásának szempontjai;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 az érintett azon joga, hogy kérelmezheti az adatkezelőtől a rá vonatkozó személyes adatok helyesbítését, törlését vagy kezelésének korlátozását, és tiltakozhat az ilyen személyes adatok kezelése ellen;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f) a valamely felügyeleti hatósághoz címzett panasz benyújtásának joga;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g) ha az adatokat nem az érintettől gyűjtötték, a forrásukra vonatkozó minden elérhető információ;</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Ha személyes adatoknak harmadik országba vagy nemzetközi szervezet részére történő továbbítására kerül sor, az érintett jogosult arra, hogy tájékoztatást kapjon a továbbításra vonatkozóan a megfelelő garanciákról.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az Adatkezelő széles körben használt elektronikus formátumban bocsátja rendelkezésre, kivéve, ha az érintett másként kéri.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előző bekezdésben említett, másolat igénylésére vonatkozó jog nem érintheti hátrányosan mások jogait és szabadságait.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fentiek szerinti jogok a 13. pontban megjelölt elérhetőségeken keresztül gyakorolhatók.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8.2. Helyesbítés joga: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az érintett kérésére az érintettre nézve pontatlan személyes adatot indokolatlan késedelem nélkül helyesbíti. Az adatkezelés célját figyelembe véve az érintett jogosult arra, hogy kérje a hiányos személyes adatainak – egyebek mellett kiegészítő nyilatkozat útján történő – kiegészítését.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8.3. Törléshez („elfeledtetéshez való jog”):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érintett az alábbi indokok valamelyikének fennállása esetén jogosult arra, hogy kérésére az Adatkezelő indokolatlan késedelem nélkül törölje a rá vonatkozó személyes adatokat: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személyes adatokra már nincs szükség abból a célból, amelyből azokat gyűjtötték vagy más módon kezelték;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b) az érintett visszavonja az adatkezelés alapját képező hozzájárulását, és az adatkezelésnek nincs más jogalapja;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 az érintett tiltakozik az adatkezelés ellen, és nincs elsőbbséget élvező jogszerű ok az adatkezelésre vagy amennyiben az adatkezelés közvetlen üzletszerzéshez kapcsolódna;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 a személyes adatokat jogellenesen kezelték;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 a személyes adatokat az adatkezelőre alkalmazandó uniós vagy tagállami jogban előírt jogi kötelezettség teljesítéséhez törölni kell;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f) a személyes adatok gyűjtésére információs társadalommal összefüggő szolgáltatások kínálásával kapcsolatosan került sor.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adatok törlése nem kezdeményezhető, ha az adatkezelés szükséges: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a véleménynyilvánítás szabadságához és a tájékozódáshoz való jog gyakorlása céljából;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b) a személyes adatok kezelését előíró, az adatkezelőre alkalmazandó uniós vagy tagállami jog szerinti kötelezettség teljesítése, illetve közérdekből;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uniós vagy tagállami jog alapján vagy egészségügyi szakemberrel kötött szerződés értelmében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 a népegészségügy területét érintő olyan közérdekből,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 a népegészségügy területét érintő közérdek alapján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f) közérdekű archiválás, tudományos és történelmi kutatási célból vagy statisztikai célból, amennyiben a törléshez való jog valószínűsíthetően lehetetlenné tenné vagy komolyan veszélyeztetné ezt az adatkezelést1; vagy</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g) jogi igények előterjesztéséhez, érvényesítéséhez, illetve védelméhez.</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8.4. Az adatkezelés korlátozásához való jog: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érintett kérésére az Adatkezelő korlátozza az adatkezelést, ha az alábbi feltételek valamelyike teljesül: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az érintett vitatja a személyes adatok pontosságát, ez esetben a korlátozás arra az időtartamra vonatkozik, amely lehetővé teszi, hogy az érintett ellenőrizze a személyes adatok pontosságát;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b) az adatkezelés jogellenes, és az érintett ellenzi az adatok törlését, és ehelyett kéri azok felhasználásának korlátozását;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 az Adatkezelőnek már nincs szüksége a személyes adatokra adatkezelés céljából, de az érintett igényli azokat jogi igények előterjesztéséhez, érvényesítéséhez vagy védelméhez; vagy</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 az érintett az Adatkezelő közérdeken vagy jogos érdeken alapuló adatkezelése kapcsán tiltakozott az adatkezelés ellen; ez esetben a korlátozás arra az időtartamra vonatkozik, amíg megállapításra nem kerül, hogy az adatkezelő jogos indokai elsőbbséget élveznek-e az érintett jogos indokaival szemben.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azon érintettet, akinek a kérésére a fentiek alapján korlátozta az adatkezelést, az adatkezelés korlátozásának feloldásáról előzetesen tájékoztatja.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8.5. Adathordozhatósághoz való jog: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az adatkezelés hozzájáruláson vagy szerződésen alapul; és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b) az adatkezelés automatizált módon történik.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adatok hordozhatóságához való jog fentiek szerinti gyakorlása során az érintett jogosult arra, hogy – ha ez technikailag megvalósítható – kérje a személyes adatok adatkezelők közötti közvetlen továbbítását.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adathordozhatósághoz való jog gyakorlása nem sértheti a törléshez („elfeledtetéshez”) való jogot. Az említett jog nem alkalmazandó abban az esetben, ha az adatkezelés közérdekű vagy az adatkezelőre ruházott közhatalmi jogosítványai gyakorlásának keretében végzett feladat végrehajtásához szükséges.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adathordozhatósághoz való jog nem érintheti hátrányosan mások jogait és szabadságait.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8.6. Tiltakozáshoz való jog: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Az érintett jogosult arra, hogy a saját helyzetével kapcsolatos okokból bármikor tiltakozzon személyes adatainak az Adatkezelő általi kezelése ellen, amennyiben az adatkezelés jogalapja közérdek vagy az Adatkezelőre ruházott közhatalmi jogosítvány gyakorlásának keretében végzett feladat végrehajtása, vagy az Adatkezelő vagy egy harmadik fél jogos érdekeinek érvényesítésének szükségessége, ideértve az említett rendelkezéseken alapuló profilalkotást is.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8.7. Visszavonás joga: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érintett jogosult arra, hogy amennyiben az Adatkezelő adatkezelése az érintett hozzájárulásán alapul hozzájárulását bármikor visszavonja. A hozzájárulás visszavonása nem érinti a hozzájáruláson alapuló, a visszavonás előtti adatkezelés jogszerűségét.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8.8. Adatbiztonsági intézkedések: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valamint a szerverhálózat üzemeltetője az adatokat az észszerűen hozzáférhető legkorszerűbb hardver- és szoftvertámogatás mellett védi különösen a jogosulatlan hozzáféréstől, megváltoztatástól, továbbítástól, nyilvánosságra hozataltól, törléstől vagy megsemmisítéstől, valamint a véletlen megsemmisülés és sérülés ellen, ezzel szolgálva az adatbiztonságot. Az Adatkezelő által kezelt adatokat főszabály szerint csak az Adatkezelőnek a jelen Szabályokban meghatározott adatkezelési célok megvalósításában résztvevő munkavállalói és egyéb közreműködői ismerhetik meg, akiket munkaszerződésük, illetve a foglalkoztatásukra vonatkozó jogviszonyuk, továbbá egyéb szerződéses jogviszonyuk, a jogszabályi rendelkezések, illetőleg az Adatkezelő utasítása alapján valamennyi, általuk megismert adat tekintetében titoktartási kötelezettség terhel.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Az Adatkezelő számítástechnikai rendszerei és más adatmegőrzési helye szerverein találhatóak.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minden adatkezelési tevékenységét pontosan dokumentálni kell. Az Adatkezelőnek valamennyi általa végzett adatkezelési tevékenységről (pl. hírlevél, webshop, munkavállalók nyilvántartása) nyilvántartást kell vezetnie. Az Adatkezelő az adattovábbítás jogszerűségének ellenőrzése, valamint az érintett tájékoztatása céljából adattovábbítási nyilvántartást vezet, amely tartalmazza a kezelt adatok továbbításának időpontját, jogalapot, címzettet, adatok körének meghatározását, az adatkezelést előíró jogszabályban meghatározott egyéb adatokat.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8.9. Papíralapon kezelt személyes adatok biztonsága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A papíralapon kezelt személyes adatok biztonsága érdekében az Adatkezelő, az alábbi intézkedéseket alkalmazza: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az adatokat csak az arra jogosultak ismerhetik meg, azokhoz már nem férhet hozzá, más számára fel nem tárhatóak,</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 dokumentumokat jól zárható, száraz, tűzvédelmi és vagyonvédelmi berendezéssel ellátott helyiségben helyezi el,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 folyamatos aktív kezelésben lévő iratokhoz csak az illetékesek férhetnek hozzá,</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az adatkezelést végző munkatárs a nap folyamán csak úgy hagyhatja el az olyan helyiséget, ahol adatkezelés zajlik, hogy a rábízott adathordozókat elzárja, vagy az irodát bezárja,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amennyiben a papíralapon kezelt személyes adatok digitalizálásra kerülnek, Adatkezelő a digitálisan tárolt dokumentumokra irányadó biztonsági szabályokat alkalmazza, és ezt követeli meg adatfeldolgozóitól is.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8.10. A digitálisan tárolt személyes adatok biztonsága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A számítógépen, illetve hálózaton tárolt személyes adatok biztonsága érdekében az Adatkezelő, illetve adatfeldolgozói, az Informatikai Biztonsági Szabályzatának előírásai szerint járnak el, így különösen: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Win-Tax rendszerben tárolt adatokhoz csak érvényes, személyre szóló, azonosítható jogosultsággal – legalább felhasználói névvel és jelszóval – lehet csak hozzáférni,</w:t>
      </w:r>
    </w:p>
    <w:p>
      <w:pPr>
        <w:pStyle w:val="Normal"/>
        <w:spacing w:lineRule="auto" w:line="240" w:before="0" w:after="0"/>
        <w:jc w:val="both"/>
        <w:rPr>
          <w:rFonts w:ascii="Arial" w:hAnsi="Arial" w:cs="Arial"/>
          <w:sz w:val="20"/>
          <w:szCs w:val="20"/>
        </w:rPr>
      </w:pPr>
      <w:r>
        <w:rPr>
          <w:rFonts w:cs="Arial" w:ascii="Arial" w:hAnsi="Arial"/>
          <w:sz w:val="20"/>
          <w:szCs w:val="20"/>
        </w:rPr>
        <w:t>az adatokkal történő minden hozzáférés nyomon követhetően naplózásra kerül,</w:t>
      </w:r>
    </w:p>
    <w:p>
      <w:pPr>
        <w:pStyle w:val="Normal"/>
        <w:spacing w:lineRule="auto" w:line="240" w:before="0" w:after="0"/>
        <w:jc w:val="both"/>
        <w:rPr>
          <w:rFonts w:ascii="Arial" w:hAnsi="Arial" w:cs="Arial"/>
          <w:sz w:val="20"/>
          <w:szCs w:val="20"/>
        </w:rPr>
      </w:pPr>
      <w:r>
        <w:rPr>
          <w:rFonts w:cs="Arial" w:ascii="Arial" w:hAnsi="Arial"/>
          <w:sz w:val="20"/>
          <w:szCs w:val="20"/>
        </w:rPr>
        <w:t>a személyes adatokat kezelő hálózaton a vírusvédelemről folyamatosan gondoskodik,</w:t>
      </w:r>
    </w:p>
    <w:p>
      <w:pPr>
        <w:pStyle w:val="Normal"/>
        <w:spacing w:lineRule="auto" w:line="240" w:before="0" w:after="0"/>
        <w:jc w:val="both"/>
        <w:rPr>
          <w:rFonts w:ascii="Arial" w:hAnsi="Arial" w:cs="Arial"/>
          <w:sz w:val="20"/>
          <w:szCs w:val="20"/>
        </w:rPr>
      </w:pPr>
      <w:r>
        <w:rPr>
          <w:rFonts w:cs="Arial" w:ascii="Arial" w:hAnsi="Arial"/>
          <w:sz w:val="20"/>
          <w:szCs w:val="20"/>
        </w:rPr>
        <w:t>a rendelkezésre álló számítástechnikai eszközökkel, azok alkalmazásával megakadályozza illetéktelen személyek hálózati hozzáférését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8.11. Eljárás a fenti jogok gyakorlásával kapcsolatos érintetti kérelem esetén: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indokolatlan késedelem nélkül, de mindenféleképpen a kérelem beérkezésétől számított egy hónapon (30 napon) belül tájékoztatja az érintett a jelen Szabályzatban rögzített jogok gyakorlásával kapcsolatos érintetti kérelem nyomán hozott intézkedésekről. Szükség esetén, figyelembe véve a kérelem összetettségét és a kérelmek számát, ez a határidő további két hónappal meghosszabbítható.</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határidő meghosszabbításáról az Adatkezelő a késedelem okainak megjelölésével a kérelem kézhezvételétől számított egy hónapon belül tájékoztatja az érintettet. Szükség esetén, figyelembe véve a kérelem összetettségét és a kérelmek számát, ez a határidő további két hónappal (60 nappal) meghosszabbítható. Ha az érintett elektronikus úton nyújtotta be a kérelmet, a tájékoztatás lehetőség szerint elektronikus úton kerül megadásra, kivéve, ha az érintett azt másként kéri.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a kért információkat és tájékoztatást díjmentesen biztosítja, azzal, hogy amennyibe az érintett kérelme egyértelműen megalapozatlan vagy – különösen ismétlődő jellege miatt – túlzó, az Adatkezelő figyelemmel a kért információ vagy tájékoztatás nyújtásával vagy a kért intézkedés meghozatalával járó adminisztratív költségekre ésszerű összegű díjat számolhat fel, vagy megtagadhatja a kérelem alapján történő intézkedést.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rendszerben tárolt személyes adataiddal és az adatkezeléssel kapcsolatos bármely kérdésedet, kérésedet kérjük, juttasd el a cartex@t-online.hu e-mail címre, illetve írásban a 1033 Budapest, Szentendrei út 89-95. X. ép postacímünkre. Kérjük, tartsd szem előtt, hogy személyes adataid kezelésével kapcsolatban – az érdekedben - csak abban az esetben áll módunkban felvilágosítást adni, illetve intézkedést tenni, ha személyazonosságodat hitelt érdemlően igazoltad.</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Amennyiben a jogaidat szeretnéd gyakorolni, akkor kérjük, töltsd le a „Kérelem adatvédelemi joggyakorláshoz” elnevezésű dokumentumot és aláírva juttasd el hozzánk a fent megadott postacímre vagy pedig elektronikus úton a cartex@t-online.hu email címre.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 kérelmed megválaszolásához minden esetben szükségünk van az alábbi információkra: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regisztrációkor megadott email címed</w:t>
      </w:r>
    </w:p>
    <w:p>
      <w:pPr>
        <w:pStyle w:val="Normal"/>
        <w:spacing w:lineRule="auto" w:line="240" w:before="0" w:after="0"/>
        <w:jc w:val="both"/>
        <w:rPr>
          <w:rFonts w:ascii="Arial" w:hAnsi="Arial" w:cs="Arial"/>
          <w:sz w:val="20"/>
          <w:szCs w:val="20"/>
        </w:rPr>
      </w:pPr>
      <w:r>
        <w:rPr>
          <w:rFonts w:cs="Arial" w:ascii="Arial" w:hAnsi="Arial"/>
          <w:sz w:val="20"/>
          <w:szCs w:val="20"/>
        </w:rPr>
        <w:t>teljes neved</w:t>
      </w:r>
    </w:p>
    <w:p>
      <w:pPr>
        <w:pStyle w:val="Normal"/>
        <w:spacing w:lineRule="auto" w:line="240" w:before="0" w:after="0"/>
        <w:jc w:val="both"/>
        <w:rPr>
          <w:rFonts w:ascii="Arial" w:hAnsi="Arial" w:cs="Arial"/>
          <w:sz w:val="20"/>
          <w:szCs w:val="20"/>
        </w:rPr>
      </w:pPr>
      <w:r>
        <w:rPr>
          <w:rFonts w:cs="Arial" w:ascii="Arial" w:hAnsi="Arial"/>
          <w:sz w:val="20"/>
          <w:szCs w:val="20"/>
        </w:rPr>
        <w:t>számlázási címed</w:t>
      </w:r>
    </w:p>
    <w:p>
      <w:pPr>
        <w:pStyle w:val="Normal"/>
        <w:spacing w:lineRule="auto" w:line="240" w:before="0" w:after="0"/>
        <w:jc w:val="both"/>
        <w:rPr>
          <w:rFonts w:ascii="Arial" w:hAnsi="Arial" w:cs="Arial"/>
          <w:sz w:val="20"/>
          <w:szCs w:val="20"/>
        </w:rPr>
      </w:pPr>
      <w:r>
        <w:rPr>
          <w:rFonts w:cs="Arial" w:ascii="Arial" w:hAnsi="Arial"/>
          <w:sz w:val="20"/>
          <w:szCs w:val="20"/>
        </w:rPr>
        <w:t>Amennyiben e-mailben juttatod el hozzánk a kérelmedet, akkor ügyelj arra, hogy a regisztrációkor megadott email címről küldd el a megkeresést.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9. ADATFELDOLGOZÓK</w:t>
      </w:r>
    </w:p>
    <w:p>
      <w:pPr>
        <w:pStyle w:val="Normal"/>
        <w:spacing w:lineRule="auto" w:line="240" w:before="0" w:after="0"/>
        <w:jc w:val="both"/>
        <w:rPr>
          <w:rFonts w:ascii="Arial" w:hAnsi="Arial" w:cs="Arial"/>
          <w:sz w:val="20"/>
          <w:szCs w:val="20"/>
        </w:rPr>
      </w:pPr>
      <w:r>
        <w:rPr>
          <w:rFonts w:cs="Arial" w:ascii="Arial" w:hAnsi="Arial"/>
          <w:sz w:val="20"/>
          <w:szCs w:val="20"/>
        </w:rPr>
        <w:t>Az Adatkezelő a tevékenysége ellátásához a jelen Szabályzatban nevesített Adatfeldolgozót veszi igénybe. Az Adatfeldolgozó önálló döntést nem hoz, kizárólag az Adatkezelővel kötött szerződés és a kapott utasítások szerint jogosult eljárni. Az Adatkezelő ellenőrzi az Adatfeldolgozó munkáját. Az Adatfeldolgozó további adatfeldolgozó igénybevételére csak az Adatkezelő előzetes írásbeli hozzájárulásával jogosult.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r>
    </w:p>
    <w:tbl>
      <w:tblPr>
        <w:tblW w:w="10473" w:type="dxa"/>
        <w:jc w:val="left"/>
        <w:tblInd w:w="121" w:type="dxa"/>
        <w:tblBorders>
          <w:top w:val="single" w:sz="6" w:space="0" w:color="CCCCCC"/>
          <w:left w:val="single" w:sz="6" w:space="0" w:color="CCCCCC"/>
          <w:bottom w:val="single" w:sz="6" w:space="0" w:color="CCCCCC"/>
          <w:insideH w:val="single" w:sz="6" w:space="0" w:color="CCCCCC"/>
        </w:tblBorders>
        <w:tblCellMar>
          <w:top w:w="150" w:type="dxa"/>
          <w:left w:w="126" w:type="dxa"/>
          <w:bottom w:w="150" w:type="dxa"/>
          <w:right w:w="150" w:type="dxa"/>
        </w:tblCellMar>
        <w:tblLook w:val="04a0" w:noVBand="1" w:noHBand="0" w:lastColumn="0" w:firstColumn="1" w:lastRow="0" w:firstRow="1"/>
      </w:tblPr>
      <w:tblGrid>
        <w:gridCol w:w="1780"/>
        <w:gridCol w:w="5221"/>
        <w:gridCol w:w="3472"/>
      </w:tblGrid>
      <w:tr>
        <w:trPr/>
        <w:tc>
          <w:tcPr>
            <w:tcW w:w="1780" w:type="dxa"/>
            <w:tcBorders>
              <w:top w:val="single" w:sz="6" w:space="0" w:color="CCCCCC"/>
              <w:left w:val="single" w:sz="6" w:space="0" w:color="CCCCCC"/>
              <w:bottom w:val="single" w:sz="6" w:space="0" w:color="CCCCCC"/>
              <w:insideH w:val="single" w:sz="6" w:space="0" w:color="CCCCCC"/>
            </w:tcBorders>
            <w:shd w:color="auto" w:fill="F3F3F3" w:val="clear"/>
            <w:tcMar>
              <w:left w:w="126" w:type="dxa"/>
            </w:tcMar>
            <w:vAlign w:val="center"/>
          </w:tcPr>
          <w:p>
            <w:pPr>
              <w:pStyle w:val="Normal"/>
              <w:spacing w:lineRule="auto" w:line="240" w:before="0" w:after="0"/>
              <w:jc w:val="both"/>
              <w:rPr>
                <w:rFonts w:ascii="Arial" w:hAnsi="Arial" w:eastAsia="Times New Roman" w:cs="Arial"/>
                <w:color w:val="808285"/>
                <w:sz w:val="20"/>
                <w:szCs w:val="20"/>
                <w:lang w:eastAsia="hu-HU"/>
              </w:rPr>
            </w:pPr>
            <w:r>
              <w:rPr>
                <w:rFonts w:eastAsia="Times New Roman" w:cs="Arial" w:ascii="Arial" w:hAnsi="Arial"/>
                <w:b/>
                <w:bCs/>
                <w:color w:val="808285"/>
                <w:sz w:val="20"/>
                <w:szCs w:val="20"/>
                <w:lang w:eastAsia="hu-HU"/>
              </w:rPr>
              <w:t>Adatfeldolgozó</w:t>
            </w:r>
          </w:p>
        </w:tc>
        <w:tc>
          <w:tcPr>
            <w:tcW w:w="5221" w:type="dxa"/>
            <w:tcBorders>
              <w:top w:val="single" w:sz="6" w:space="0" w:color="CCCCCC"/>
              <w:left w:val="single" w:sz="6" w:space="0" w:color="CCCCCC"/>
              <w:bottom w:val="single" w:sz="6" w:space="0" w:color="CCCCCC"/>
              <w:insideH w:val="single" w:sz="6" w:space="0" w:color="CCCCCC"/>
            </w:tcBorders>
            <w:shd w:color="auto" w:fill="F3F3F3" w:val="clear"/>
            <w:tcMar>
              <w:left w:w="126" w:type="dxa"/>
            </w:tcMar>
            <w:vAlign w:val="center"/>
          </w:tcPr>
          <w:p>
            <w:pPr>
              <w:pStyle w:val="Normal"/>
              <w:spacing w:lineRule="auto" w:line="240" w:before="0" w:after="0"/>
              <w:jc w:val="both"/>
              <w:rPr>
                <w:rFonts w:ascii="Arial" w:hAnsi="Arial" w:eastAsia="Times New Roman" w:cs="Arial"/>
                <w:color w:val="808285"/>
                <w:sz w:val="20"/>
                <w:szCs w:val="20"/>
                <w:lang w:eastAsia="hu-HU"/>
              </w:rPr>
            </w:pPr>
            <w:r>
              <w:rPr>
                <w:rFonts w:eastAsia="Times New Roman" w:cs="Arial" w:ascii="Arial" w:hAnsi="Arial"/>
                <w:b/>
                <w:bCs/>
                <w:color w:val="808285"/>
                <w:sz w:val="20"/>
                <w:szCs w:val="20"/>
                <w:lang w:eastAsia="hu-HU"/>
              </w:rPr>
              <w:t>Milyen személyes adatokhoz fér hozzá? Milyen módon használhatja fel az adott személyes adatot (milyen tevékenységet végez az Adatkezelő részére)?</w:t>
            </w:r>
          </w:p>
        </w:tc>
        <w:tc>
          <w:tcPr>
            <w:tcW w:w="3472"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3F3F3" w:val="clear"/>
            <w:tcMar>
              <w:left w:w="126" w:type="dxa"/>
            </w:tcMar>
            <w:vAlign w:val="center"/>
          </w:tcPr>
          <w:p>
            <w:pPr>
              <w:pStyle w:val="Normal"/>
              <w:spacing w:lineRule="auto" w:line="240" w:before="0" w:after="0"/>
              <w:jc w:val="both"/>
              <w:rPr>
                <w:rFonts w:ascii="Arial" w:hAnsi="Arial" w:eastAsia="Times New Roman" w:cs="Arial"/>
                <w:color w:val="808285"/>
                <w:sz w:val="20"/>
                <w:szCs w:val="20"/>
                <w:lang w:eastAsia="hu-HU"/>
              </w:rPr>
            </w:pPr>
            <w:r>
              <w:rPr>
                <w:rFonts w:eastAsia="Times New Roman" w:cs="Arial" w:ascii="Arial" w:hAnsi="Arial"/>
                <w:b/>
                <w:bCs/>
                <w:color w:val="808285"/>
                <w:sz w:val="20"/>
                <w:szCs w:val="20"/>
                <w:lang w:eastAsia="hu-HU"/>
              </w:rPr>
              <w:t>Mennyi ideig tárolhatja az adatokat?</w:t>
            </w:r>
          </w:p>
        </w:tc>
      </w:tr>
      <w:tr>
        <w:trPr/>
        <w:tc>
          <w:tcPr>
            <w:tcW w:w="1780"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color w:val="000000"/>
              </w:rPr>
            </w:pPr>
            <w:r>
              <w:rPr>
                <w:rFonts w:eastAsia="Times New Roman" w:cs="Arial" w:ascii="Arial" w:hAnsi="Arial"/>
                <w:color w:val="000000"/>
                <w:sz w:val="20"/>
                <w:szCs w:val="20"/>
                <w:lang w:eastAsia="hu-HU"/>
              </w:rPr>
              <w:t>Innovip.hu Kft.</w:t>
            </w:r>
          </w:p>
        </w:tc>
        <w:tc>
          <w:tcPr>
            <w:tcW w:w="5221"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weboldal üzemeltetés (ellenőrzés, technikai frissítés,</w:t>
            </w:r>
          </w:p>
          <w:p>
            <w:pPr>
              <w:pStyle w:val="Normal"/>
              <w:spacing w:lineRule="auto" w:line="240" w:before="0" w:after="0"/>
              <w:jc w:val="both"/>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biztonsági rendszerfejlesztés, egyéb fejlesztések, javítási feladatok)</w:t>
            </w:r>
          </w:p>
        </w:tc>
        <w:tc>
          <w:tcPr>
            <w:tcW w:w="3472"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Az adatkezelés időtartama, az adatok törlésének határideje: A Szolgáltató és a weboldal üzemeltető közötti megállapodás megszűnéséig, vagy az érintettnek a weboldal-üzemeltető felé</w:t>
            </w:r>
          </w:p>
          <w:p>
            <w:pPr>
              <w:pStyle w:val="Normal"/>
              <w:spacing w:lineRule="auto" w:line="240" w:before="0" w:after="0"/>
              <w:jc w:val="both"/>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intézett törlési kérelméig tart.</w:t>
            </w:r>
          </w:p>
        </w:tc>
      </w:tr>
      <w:tr>
        <w:trPr/>
        <w:tc>
          <w:tcPr>
            <w:tcW w:w="1780" w:type="dxa"/>
            <w:tcBorders>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sz w:val="20"/>
                <w:szCs w:val="20"/>
              </w:rPr>
            </w:pPr>
            <w:r>
              <w:rPr>
                <w:rFonts w:ascii="Arial" w:hAnsi="Arial"/>
                <w:sz w:val="20"/>
                <w:szCs w:val="20"/>
              </w:rPr>
              <w:t>Tárhely.eu Szolgáltató Korlátolt Felelősségű Társaság</w:t>
            </w:r>
          </w:p>
        </w:tc>
        <w:tc>
          <w:tcPr>
            <w:tcW w:w="5221" w:type="dxa"/>
            <w:tcBorders>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sz w:val="20"/>
                <w:szCs w:val="20"/>
              </w:rPr>
            </w:pPr>
            <w:r>
              <w:rPr>
                <w:rFonts w:ascii="Arial" w:hAnsi="Arial"/>
                <w:sz w:val="20"/>
                <w:szCs w:val="20"/>
              </w:rPr>
              <w:t>Az adatkezelés ténye, a kezelt adatok köre: Az érintett által megadott valamennyi személyes</w:t>
            </w:r>
          </w:p>
          <w:p>
            <w:pPr>
              <w:pStyle w:val="Normal"/>
              <w:spacing w:lineRule="auto" w:line="240" w:before="0" w:after="0"/>
              <w:jc w:val="both"/>
              <w:rPr>
                <w:rFonts w:ascii="Arial" w:hAnsi="Arial"/>
                <w:sz w:val="20"/>
                <w:szCs w:val="20"/>
              </w:rPr>
            </w:pPr>
            <w:r>
              <w:rPr>
                <w:rFonts w:ascii="Arial" w:hAnsi="Arial"/>
                <w:sz w:val="20"/>
                <w:szCs w:val="20"/>
              </w:rPr>
              <w:t>adat. Az érintettek köre: A weboldalt használó valamennyi érintett. Az adatkezelés célja: A weboldal elérhetővé tétele, megfelelő működtetése.</w:t>
            </w:r>
          </w:p>
        </w:tc>
        <w:tc>
          <w:tcPr>
            <w:tcW w:w="3472" w:type="dxa"/>
            <w:tcBorders>
              <w:left w:val="single" w:sz="6" w:space="0" w:color="CCCCCC"/>
              <w:bottom w:val="single" w:sz="6" w:space="0" w:color="CCCCCC"/>
              <w:right w:val="single" w:sz="6" w:space="0" w:color="CCCCCC"/>
              <w:insideH w:val="single" w:sz="6" w:space="0" w:color="CCCCCC"/>
              <w:insideV w:val="single" w:sz="6" w:space="0" w:color="CCCCCC"/>
            </w:tcBorders>
            <w:shd w:color="auto" w:fill="FFFFFF" w:val="clear"/>
            <w:tcMar>
              <w:left w:w="126" w:type="dxa"/>
            </w:tcMar>
            <w:vAlign w:val="center"/>
          </w:tcPr>
          <w:p>
            <w:pPr>
              <w:pStyle w:val="Normal"/>
              <w:spacing w:lineRule="auto" w:line="240" w:before="0" w:after="0"/>
              <w:jc w:val="both"/>
              <w:rPr>
                <w:rFonts w:ascii="Arial" w:hAnsi="Arial"/>
                <w:sz w:val="20"/>
                <w:szCs w:val="20"/>
              </w:rPr>
            </w:pPr>
            <w:r>
              <w:rPr>
                <w:rFonts w:ascii="Arial" w:hAnsi="Arial"/>
                <w:sz w:val="20"/>
                <w:szCs w:val="20"/>
              </w:rPr>
              <w:t>Az adatkezelés időtartama, az adatok törlésének határideje: Az adatkezelő és a tárhely-szolgáltató</w:t>
            </w:r>
          </w:p>
          <w:p>
            <w:pPr>
              <w:pStyle w:val="Normal"/>
              <w:spacing w:lineRule="auto" w:line="240" w:before="0" w:after="0"/>
              <w:jc w:val="both"/>
              <w:rPr>
                <w:rFonts w:ascii="Arial" w:hAnsi="Arial"/>
                <w:sz w:val="20"/>
                <w:szCs w:val="20"/>
              </w:rPr>
            </w:pPr>
            <w:r>
              <w:rPr>
                <w:rFonts w:ascii="Arial" w:hAnsi="Arial"/>
                <w:sz w:val="20"/>
                <w:szCs w:val="20"/>
              </w:rPr>
              <w:t>közötti megállapodás megszűnéséig, vagy az érintettnek a tárhely-szolgáltató felé intézett törlési</w:t>
            </w:r>
          </w:p>
          <w:p>
            <w:pPr>
              <w:pStyle w:val="Normal"/>
              <w:spacing w:lineRule="auto" w:line="240" w:before="0" w:after="0"/>
              <w:jc w:val="both"/>
              <w:rPr>
                <w:rFonts w:ascii="Arial" w:hAnsi="Arial"/>
                <w:sz w:val="20"/>
                <w:szCs w:val="20"/>
              </w:rPr>
            </w:pPr>
            <w:r>
              <w:rPr>
                <w:rFonts w:ascii="Arial" w:hAnsi="Arial"/>
                <w:sz w:val="20"/>
                <w:szCs w:val="20"/>
              </w:rPr>
              <w:t>kérelméig tart az adatkezelés.</w:t>
            </w:r>
          </w:p>
        </w:tc>
      </w:tr>
      <w:tr>
        <w:trPr/>
        <w:tc>
          <w:tcPr>
            <w:tcW w:w="1780"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FF0000"/>
                <w:sz w:val="20"/>
                <w:szCs w:val="20"/>
                <w:lang w:eastAsia="hu-HU"/>
              </w:rPr>
              <w:t>Novitax Kft.</w:t>
            </w:r>
          </w:p>
        </w:tc>
        <w:tc>
          <w:tcPr>
            <w:tcW w:w="5221"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FF0000"/>
                <w:sz w:val="20"/>
                <w:szCs w:val="20"/>
                <w:lang w:eastAsia="hu-HU"/>
              </w:rPr>
            </w:r>
          </w:p>
        </w:tc>
        <w:tc>
          <w:tcPr>
            <w:tcW w:w="3472"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FF0000"/>
                <w:sz w:val="20"/>
                <w:szCs w:val="20"/>
                <w:lang w:eastAsia="hu-HU"/>
              </w:rPr>
            </w:r>
          </w:p>
        </w:tc>
      </w:tr>
      <w:tr>
        <w:trPr/>
        <w:tc>
          <w:tcPr>
            <w:tcW w:w="1780"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000000"/>
                <w:sz w:val="20"/>
                <w:szCs w:val="20"/>
                <w:lang w:eastAsia="hu-HU"/>
              </w:rPr>
              <w:t>Automatika1em</w:t>
            </w:r>
          </w:p>
        </w:tc>
        <w:tc>
          <w:tcPr>
            <w:tcW w:w="5221"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000000"/>
                <w:sz w:val="20"/>
                <w:szCs w:val="20"/>
                <w:lang w:eastAsia="hu-HU"/>
              </w:rPr>
              <w:t>Számviteli tevékenység, könyvelés</w:t>
            </w:r>
          </w:p>
        </w:tc>
        <w:tc>
          <w:tcPr>
            <w:tcW w:w="3472"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000000"/>
                <w:sz w:val="20"/>
                <w:szCs w:val="20"/>
                <w:lang w:eastAsia="hu-HU"/>
              </w:rPr>
              <w:t>Szerződés megszűnéséig, az általános 8 éves bizonylatőrzési kötelezettség fennállásáig.</w:t>
            </w:r>
          </w:p>
        </w:tc>
      </w:tr>
    </w:tbl>
    <w:p>
      <w:pPr>
        <w:pStyle w:val="Normal"/>
        <w:shd w:val="clear" w:color="auto" w:fill="FFFFFF"/>
        <w:spacing w:lineRule="auto" w:line="240" w:before="0" w:after="0"/>
        <w:jc w:val="both"/>
        <w:rPr>
          <w:rFonts w:ascii="Arial" w:hAnsi="Arial" w:eastAsia="Times New Roman" w:cs="Arial"/>
          <w:color w:val="808285"/>
          <w:sz w:val="20"/>
          <w:szCs w:val="20"/>
          <w:lang w:eastAsia="hu-HU"/>
        </w:rPr>
      </w:pPr>
      <w:r>
        <w:rPr>
          <w:rFonts w:eastAsia="Times New Roman" w:cs="Arial" w:ascii="Arial" w:hAnsi="Arial"/>
          <w:color w:val="808285"/>
          <w:sz w:val="20"/>
          <w:szCs w:val="20"/>
          <w:lang w:eastAsia="hu-HU"/>
        </w:rPr>
        <w:t> </w:t>
      </w:r>
    </w:p>
    <w:p>
      <w:pPr>
        <w:pStyle w:val="Normal"/>
        <w:spacing w:lineRule="auto" w:line="240" w:before="0" w:after="0"/>
        <w:jc w:val="both"/>
        <w:rPr>
          <w:rFonts w:ascii="Arial" w:hAnsi="Arial" w:cs="Arial"/>
          <w:b/>
          <w:b/>
          <w:sz w:val="20"/>
          <w:szCs w:val="20"/>
        </w:rPr>
      </w:pPr>
      <w:r>
        <w:rPr>
          <w:rFonts w:cs="Arial" w:ascii="Arial" w:hAnsi="Arial"/>
          <w:b/>
          <w:sz w:val="20"/>
          <w:szCs w:val="20"/>
        </w:rPr>
        <w:t>10. ÉSZREVÉTELEIT, KÉRDÉSEIT, PANASZÁT ÍGY JELEZHETI</w:t>
      </w:r>
    </w:p>
    <w:p>
      <w:pPr>
        <w:pStyle w:val="Normal"/>
        <w:spacing w:lineRule="auto" w:line="240" w:before="0" w:after="0"/>
        <w:jc w:val="both"/>
        <w:rPr>
          <w:rFonts w:ascii="Arial" w:hAnsi="Arial" w:cs="Arial"/>
          <w:sz w:val="20"/>
          <w:szCs w:val="20"/>
        </w:rPr>
      </w:pPr>
      <w:r>
        <w:rPr>
          <w:rFonts w:cs="Arial" w:ascii="Arial" w:hAnsi="Arial"/>
          <w:sz w:val="20"/>
          <w:szCs w:val="20"/>
        </w:rPr>
        <w:t>A rendszerben tárolt személyes adataival és az adatkezeléssel kapcsolatos bármely kérdését, kérését kérjük, juttassa el a cartex@t-online.hu e-mail címre, illetve írásban a 1033 Budapest, Szentendrei út 89-95. X. ép postacímünkre. Kérjük, tartsa szem előtt, hogy személyes adatai kezelésével kapcsolatban – az Ön érdekében - csak abban az esetben áll módunkban felvilágosítást adni, illetve intézkedést tenni, ha személyazonosságát hitelt érdemlően igazolta.</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Tájékoztatjuk, hogy az érintettek a személyes adataik kezeléséhez és a GDPR szerinti jogaik gyakorlásához kapcsolódó valamennyi kérdésben az Adatkezelő adatvédelmi tisztviselőjéhez fordulhatnak a 4.1 b) pontban meghatározott elérhetőségeken.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11. GYERMEKEKKEL ÉS HARMADIK SZEMÉLYEKKEL KAPCSOLATOS SZEMÉLYES ADATOK</w:t>
      </w:r>
    </w:p>
    <w:p>
      <w:pPr>
        <w:pStyle w:val="Normal"/>
        <w:spacing w:lineRule="auto" w:line="240" w:before="0" w:after="0"/>
        <w:jc w:val="both"/>
        <w:rPr>
          <w:rFonts w:ascii="Arial" w:hAnsi="Arial" w:cs="Arial"/>
          <w:sz w:val="20"/>
          <w:szCs w:val="20"/>
        </w:rPr>
      </w:pPr>
      <w:r>
        <w:rPr>
          <w:rFonts w:cs="Arial" w:ascii="Arial" w:hAnsi="Arial"/>
          <w:sz w:val="20"/>
          <w:szCs w:val="20"/>
        </w:rPr>
        <w:t>16. éven aluli személyek nem adhatnak meg magukról személyes adatot, kivéve, ha szülői felügyeletet gyakorló személytől ehhez engedélyt kértek. A személyes adatoknak az Adatkezelő rendelkezésére bocsátásával az érintett kijelenti és szavatolja, hogy a fentiekre figyelemmel jár el, cselekvőképessége az információk rendelkezésre bocsátásával kapcsolatban nem korlátozott.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Amennyiben az érintett bármely személyes adat rendelkezésre bocsátására jogilag önállóan nem jogosult, köteles harmadik személyek (pl. törvényes képviselő, gondnok, egyéb személy – például fogyasztó – akinek a nevében eljár) beleegyezését megszerezni, vagy az adatok rendelkezésre bocsátásához más jogalapot biztosítani. Ezzel összefüggésben az érintett köteles mérlegelni, hogy az adott személyes adat rendelkezésre bocsátásával összefüggésben szükség van-e valamely harmadik személy hozzájárulására. Előfordulhat, hogy az Adatkezelő az érintettel személyes kapcsolatba nem kerül, így a jelen pontnak való megfelelést a személyes adatot rendelkezésre bocsátó köteles biztosítani, és az Adatkezelőt ezzel összefüggésben felelősség nem terheli. Ettől függetlenül, az Adatkezelő mindenkor jogosult ellenőrizni, hogy valamely személyes adat kezelésére a megfelelő jogalap rendelkezésre áll-e. Például, ha az érintett harmadik személy - például fogyasztó - nevében jár el, Adatkezelő jogosult kérni a meghatalmazást és/vagy az érintett személy megfelelő adatkezelési hozzájárulását az adott ügyre vonatkozóan.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minden tőle telhetőt megtesz annak érdekében, hogy töröljön minden olyan személyes adatot, amelyet jogosulatlanul bocsátottak a rendelkezésére. Az Adatkezelő biztosítja, hogy amennyiben ez a tudomására jut, ezen személyes adat más számára nem kerül továbbításra, sem az Adatkezelő által felhasználásra. Kérjük, hogy a 13. pontban meghatározott elérhetőségeinken haladéktalanul közölje, ha tudomására jut, hogy egy gyermek önmagáról, vagy egy harmadik személy az érintettről jogosulatlanul bocsátott az Adatkezelő rendelkezésre személyes adatot.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t>12. JOGORVOSLAT</w:t>
      </w:r>
    </w:p>
    <w:p>
      <w:pPr>
        <w:pStyle w:val="Normal"/>
        <w:spacing w:lineRule="auto" w:line="240" w:before="0" w:after="0"/>
        <w:jc w:val="both"/>
        <w:rPr>
          <w:rFonts w:ascii="Arial" w:hAnsi="Arial" w:cs="Arial"/>
          <w:sz w:val="20"/>
          <w:szCs w:val="20"/>
        </w:rPr>
      </w:pPr>
      <w:r>
        <w:rPr>
          <w:rFonts w:cs="Arial" w:ascii="Arial" w:hAnsi="Arial"/>
          <w:sz w:val="20"/>
          <w:szCs w:val="20"/>
        </w:rPr>
        <w:t>Bármilyen, adatkezeléssel kapcsolatos kérdéssel, észrevétellel kereshető az Adatkezelő a jelen Szabályzatban megadott elérhetőségek valamelyikén.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Jogorvoslati lehetőséggel, panasszal továbbá a Nemzeti Adatvédelmi és Információszabadság Hatóságnál lehet élni:</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Név: Nemzeti Adatvédelmi és Információszabadság Hatóság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Székhely: 1125 Budapest, Szilágyi Erzsébet fasor 22/C.</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Levelezési cím: 1530 Budapest, Pf.: 5.</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Telefon: +36-1-391-1400</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Fax: +36-1-391-1410</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Honlap: www.naih.hu</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E-mail: ugyfelszolgalat@naih.hu</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érintett a jogainak megsértése esetén az Adatkezelő, mint adatkezelő ellen bírósághoz fordulhat. A bíróság az ügyben soron kívül jár el. Azt, hogy az adatkezelés a jogszabályban foglaltaknak megfelel, az Adatkezelő köteles bizonyítani. A per elbírálása a törvényszék hatáskörébe tartozik. A per – az érintett választása szerint – az érintett lakóhelye vagy tartózkodási helye szerinti törvényszék előtt is megindítható.</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Az Adatkezelő az érintett adatainak jogellenes kezelésével vagy az adatbiztonság követelményeinek megszegésével másnak okozott kárt megtéríti. Személyiségi jogának megsértése esetén az érintett sérelemdíjat (Ptk. 2:52. §) követelhet. Az Adatkezelő mentesül a felelősség alól, ha a kárt az adatkezelés körén kívül eső elháríthatatlan ok idézte elő. Az Adatkezelő nem téríti meg a kárt és nem követelhető tőle sérelemdíj annyiban, amennyiben a kár bekövetkezése a károsult szándékos vagy súlyosan gondatlan magatartására vezethető vissza.</w:t>
      </w:r>
    </w:p>
    <w:p>
      <w:pPr>
        <w:pStyle w:val="Normal"/>
        <w:spacing w:lineRule="auto" w:line="240" w:before="0" w:after="0"/>
        <w:jc w:val="both"/>
        <w:rPr>
          <w:rFonts w:ascii="Arial" w:hAnsi="Arial" w:eastAsia="Times New Roman" w:cs="Arial"/>
          <w:b/>
          <w:b/>
          <w:bCs/>
          <w:caps/>
          <w:color w:val="002A4E"/>
          <w:sz w:val="20"/>
          <w:szCs w:val="20"/>
          <w:lang w:eastAsia="hu-HU"/>
        </w:rPr>
      </w:pPr>
      <w:r>
        <w:rPr>
          <w:rFonts w:eastAsia="Times New Roman" w:cs="Arial" w:ascii="Arial" w:hAnsi="Arial"/>
          <w:b/>
          <w:bCs/>
          <w:caps/>
          <w:color w:val="002A4E"/>
          <w:sz w:val="20"/>
          <w:szCs w:val="20"/>
          <w:lang w:eastAsia="hu-HU"/>
        </w:rPr>
      </w:r>
    </w:p>
    <w:p>
      <w:pPr>
        <w:pStyle w:val="Normal"/>
        <w:spacing w:lineRule="auto" w:line="240" w:before="0" w:after="0"/>
        <w:jc w:val="both"/>
        <w:rPr>
          <w:rFonts w:ascii="Arial" w:hAnsi="Arial" w:cs="Arial"/>
          <w:b/>
          <w:b/>
          <w:sz w:val="20"/>
          <w:szCs w:val="20"/>
        </w:rPr>
      </w:pPr>
      <w:r>
        <w:rPr>
          <w:rFonts w:eastAsia="Times New Roman" w:cs="Arial" w:ascii="Arial" w:hAnsi="Arial"/>
          <w:b/>
          <w:bCs/>
          <w:caps/>
          <w:sz w:val="20"/>
          <w:szCs w:val="20"/>
          <w:lang w:eastAsia="hu-HU"/>
        </w:rPr>
        <w:t>13.</w:t>
      </w:r>
      <w:r>
        <w:rPr>
          <w:rFonts w:cs="Arial" w:ascii="Arial" w:hAnsi="Arial"/>
          <w:b/>
          <w:sz w:val="20"/>
          <w:szCs w:val="20"/>
        </w:rPr>
        <w:t xml:space="preserve"> Mellékletek</w:t>
      </w:r>
    </w:p>
    <w:p>
      <w:pPr>
        <w:pStyle w:val="Normal"/>
        <w:spacing w:lineRule="auto" w:line="240" w:before="0" w:after="0"/>
        <w:jc w:val="both"/>
        <w:rPr>
          <w:rFonts w:ascii="Arial" w:hAnsi="Arial" w:cs="Arial"/>
          <w:b/>
          <w:b/>
          <w:sz w:val="20"/>
          <w:szCs w:val="20"/>
        </w:rPr>
      </w:pPr>
      <w:r>
        <w:rPr>
          <w:rFonts w:cs="Arial" w:ascii="Arial" w:hAnsi="Arial"/>
          <w:b/>
          <w:sz w:val="20"/>
          <w:szCs w:val="20"/>
        </w:rPr>
      </w:r>
    </w:p>
    <w:tbl>
      <w:tblPr>
        <w:tblW w:w="10474" w:type="dxa"/>
        <w:jc w:val="left"/>
        <w:tblInd w:w="121" w:type="dxa"/>
        <w:tblBorders>
          <w:top w:val="single" w:sz="6" w:space="0" w:color="CCCCCC"/>
          <w:left w:val="single" w:sz="6" w:space="0" w:color="CCCCCC"/>
          <w:bottom w:val="single" w:sz="6" w:space="0" w:color="CCCCCC"/>
          <w:insideH w:val="single" w:sz="6" w:space="0" w:color="CCCCCC"/>
        </w:tblBorders>
        <w:tblCellMar>
          <w:top w:w="150" w:type="dxa"/>
          <w:left w:w="126" w:type="dxa"/>
          <w:bottom w:w="150" w:type="dxa"/>
          <w:right w:w="150" w:type="dxa"/>
        </w:tblCellMar>
        <w:tblLook w:val="04a0" w:noVBand="1" w:noHBand="0" w:lastColumn="0" w:firstColumn="1" w:lastRow="0" w:firstRow="1"/>
      </w:tblPr>
      <w:tblGrid>
        <w:gridCol w:w="7871"/>
        <w:gridCol w:w="1485"/>
        <w:gridCol w:w="1118"/>
      </w:tblGrid>
      <w:tr>
        <w:trPr/>
        <w:tc>
          <w:tcPr>
            <w:tcW w:w="7871" w:type="dxa"/>
            <w:tcBorders>
              <w:top w:val="single" w:sz="6" w:space="0" w:color="CCCCCC"/>
              <w:left w:val="single" w:sz="6" w:space="0" w:color="CCCCCC"/>
              <w:bottom w:val="single" w:sz="6" w:space="0" w:color="CCCCCC"/>
              <w:insideH w:val="single" w:sz="6" w:space="0" w:color="CCCCCC"/>
            </w:tcBorders>
            <w:shd w:color="auto" w:fill="F3F3F3"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Melléklet</w:t>
            </w:r>
          </w:p>
        </w:tc>
        <w:tc>
          <w:tcPr>
            <w:tcW w:w="1485" w:type="dxa"/>
            <w:tcBorders>
              <w:top w:val="single" w:sz="6" w:space="0" w:color="CCCCCC"/>
              <w:left w:val="single" w:sz="6" w:space="0" w:color="CCCCCC"/>
              <w:bottom w:val="single" w:sz="6" w:space="0" w:color="CCCCCC"/>
              <w:insideH w:val="single" w:sz="6" w:space="0" w:color="CCCCCC"/>
            </w:tcBorders>
            <w:shd w:color="auto" w:fill="F3F3F3"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Megtekintés</w:t>
            </w:r>
          </w:p>
        </w:tc>
        <w:tc>
          <w:tcPr>
            <w:tcW w:w="1118"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3F3F3"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Letöltés</w:t>
            </w:r>
          </w:p>
        </w:tc>
      </w:tr>
      <w:tr>
        <w:trPr/>
        <w:tc>
          <w:tcPr>
            <w:tcW w:w="7871"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1. sz. melléklet: Webshop adatkezelési tájékoztató</w:t>
            </w:r>
          </w:p>
        </w:tc>
        <w:tc>
          <w:tcPr>
            <w:tcW w:w="1485"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u w:val="single"/>
                <w:lang w:eastAsia="hu-HU"/>
              </w:rPr>
              <w:t>Megtekintés</w:t>
            </w:r>
          </w:p>
        </w:tc>
        <w:tc>
          <w:tcPr>
            <w:tcW w:w="1118"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u w:val="single"/>
                <w:lang w:eastAsia="hu-HU"/>
              </w:rPr>
              <w:t>Letöltés</w:t>
            </w:r>
          </w:p>
        </w:tc>
      </w:tr>
      <w:tr>
        <w:trPr/>
        <w:tc>
          <w:tcPr>
            <w:tcW w:w="7871"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2. sz. melléklet: Elektronikus megfigyelőrendszerekkel kapcsolatos adatkezelési tájékoztató</w:t>
            </w:r>
          </w:p>
        </w:tc>
        <w:tc>
          <w:tcPr>
            <w:tcW w:w="1485"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u w:val="single"/>
                <w:lang w:eastAsia="hu-HU"/>
              </w:rPr>
              <w:t>Megtekintés</w:t>
            </w:r>
          </w:p>
        </w:tc>
        <w:tc>
          <w:tcPr>
            <w:tcW w:w="1118"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u w:val="single"/>
                <w:lang w:eastAsia="hu-HU"/>
              </w:rPr>
              <w:t>Letöltés</w:t>
            </w:r>
          </w:p>
        </w:tc>
      </w:tr>
      <w:tr>
        <w:trPr/>
        <w:tc>
          <w:tcPr>
            <w:tcW w:w="7871"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3. sz. melléklet: Általános adatvédelmi szabályzat</w:t>
            </w:r>
          </w:p>
        </w:tc>
        <w:tc>
          <w:tcPr>
            <w:tcW w:w="1485"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u w:val="single"/>
                <w:lang w:eastAsia="hu-HU"/>
              </w:rPr>
              <w:t>Megtekintés</w:t>
            </w:r>
          </w:p>
        </w:tc>
        <w:tc>
          <w:tcPr>
            <w:tcW w:w="1118"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u w:val="single"/>
                <w:lang w:eastAsia="hu-HU"/>
              </w:rPr>
              <w:t>Letöltés</w:t>
            </w:r>
          </w:p>
        </w:tc>
      </w:tr>
      <w:tr>
        <w:trPr/>
        <w:tc>
          <w:tcPr>
            <w:tcW w:w="7871"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4</w:t>
            </w:r>
            <w:bookmarkStart w:id="2" w:name="_GoBack"/>
            <w:bookmarkEnd w:id="2"/>
            <w:r>
              <w:rPr>
                <w:rFonts w:eastAsia="Times New Roman" w:cs="Arial" w:ascii="Arial" w:hAnsi="Arial"/>
                <w:sz w:val="20"/>
                <w:szCs w:val="20"/>
                <w:lang w:eastAsia="hu-HU"/>
              </w:rPr>
              <w:t>. sz. melléklet: Kérelem adatvédelmi joggyakorláshoz</w:t>
            </w:r>
          </w:p>
        </w:tc>
        <w:tc>
          <w:tcPr>
            <w:tcW w:w="1485" w:type="dxa"/>
            <w:tcBorders>
              <w:top w:val="single" w:sz="6" w:space="0" w:color="CCCCCC"/>
              <w:left w:val="single" w:sz="6" w:space="0" w:color="CCCCCC"/>
              <w:bottom w:val="single" w:sz="6" w:space="0" w:color="CCCCCC"/>
              <w:insideH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Megtekintés</w:t>
            </w:r>
          </w:p>
        </w:tc>
        <w:tc>
          <w:tcPr>
            <w:tcW w:w="1118"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FFFFF" w:val="clear"/>
            <w:tcMar>
              <w:left w:w="126"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u w:val="single"/>
                <w:lang w:eastAsia="hu-HU"/>
              </w:rPr>
              <w:t>Letöltés</w:t>
            </w:r>
          </w:p>
        </w:tc>
      </w:tr>
    </w:tbl>
    <w:p>
      <w:pPr>
        <w:pStyle w:val="Normal"/>
        <w:spacing w:lineRule="auto" w:line="240" w:before="0" w:after="0"/>
        <w:jc w:val="both"/>
        <w:rPr/>
      </w:pPr>
      <w:r>
        <w:rPr/>
      </w:r>
    </w:p>
    <w:sectPr>
      <w:type w:val="nextPage"/>
      <w:pgSz w:w="11906" w:h="16838"/>
      <w:pgMar w:left="709" w:right="707" w:header="0" w:top="709"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hu-HU" w:eastAsia="en-US" w:bidi="ar-SA"/>
    </w:rPr>
  </w:style>
  <w:style w:type="paragraph" w:styleId="Cmsor3">
    <w:name w:val="Heading 3"/>
    <w:basedOn w:val="Normal"/>
    <w:link w:val="Cmsor3Char"/>
    <w:uiPriority w:val="9"/>
    <w:qFormat/>
    <w:rsid w:val="00a2685d"/>
    <w:pPr>
      <w:spacing w:lineRule="auto" w:line="240" w:beforeAutospacing="1" w:afterAutospacing="1"/>
      <w:outlineLvl w:val="2"/>
    </w:pPr>
    <w:rPr>
      <w:rFonts w:ascii="Times New Roman" w:hAnsi="Times New Roman" w:eastAsia="Times New Roman" w:cs="Times New Roman"/>
      <w:b/>
      <w:bCs/>
      <w:sz w:val="27"/>
      <w:szCs w:val="27"/>
      <w:lang w:eastAsia="hu-H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2685d"/>
    <w:rPr>
      <w:b/>
      <w:bCs/>
    </w:rPr>
  </w:style>
  <w:style w:type="character" w:styleId="Cmsor3Char" w:customStyle="1">
    <w:name w:val="Címsor 3 Char"/>
    <w:basedOn w:val="DefaultParagraphFont"/>
    <w:link w:val="Cmsor3"/>
    <w:uiPriority w:val="9"/>
    <w:qFormat/>
    <w:rsid w:val="00a2685d"/>
    <w:rPr>
      <w:rFonts w:ascii="Times New Roman" w:hAnsi="Times New Roman" w:eastAsia="Times New Roman" w:cs="Times New Roman"/>
      <w:b/>
      <w:bCs/>
      <w:sz w:val="27"/>
      <w:szCs w:val="27"/>
      <w:lang w:eastAsia="hu-HU"/>
    </w:rPr>
  </w:style>
  <w:style w:type="character" w:styleId="Internethivatkozs">
    <w:name w:val="Internet-hivatkozás"/>
    <w:basedOn w:val="DefaultParagraphFont"/>
    <w:uiPriority w:val="99"/>
    <w:semiHidden/>
    <w:unhideWhenUsed/>
    <w:rsid w:val="00a2685d"/>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Symbol"/>
      <w:sz w:val="20"/>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Arial" w:hAnsi="Arial" w:cs="Symbol"/>
      <w:sz w:val="20"/>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Symbol"/>
      <w:sz w:val="20"/>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Arial" w:hAnsi="Arial" w:cs="Symbol"/>
      <w:sz w:val="20"/>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paragraph" w:styleId="Cmsor">
    <w:name w:val="Címsor"/>
    <w:basedOn w:val="Normal"/>
    <w:next w:val="Szvegtrzs"/>
    <w:qFormat/>
    <w:pPr>
      <w:keepNext/>
      <w:spacing w:before="240" w:after="120"/>
    </w:pPr>
    <w:rPr>
      <w:rFonts w:ascii="Liberation Sans" w:hAnsi="Liberation Sans" w:eastAsia="Noto Sans CJK SC Regular" w:cs="Free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FreeSans"/>
    </w:rPr>
  </w:style>
  <w:style w:type="paragraph" w:styleId="Felirat">
    <w:name w:val="Caption"/>
    <w:basedOn w:val="Normal"/>
    <w:qFormat/>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 w:type="paragraph" w:styleId="Text" w:customStyle="1">
    <w:name w:val="text"/>
    <w:basedOn w:val="Normal"/>
    <w:qFormat/>
    <w:rsid w:val="00a2685d"/>
    <w:pPr>
      <w:spacing w:lineRule="auto" w:line="240" w:beforeAutospacing="1" w:afterAutospacing="1"/>
    </w:pPr>
    <w:rPr>
      <w:rFonts w:ascii="Times New Roman" w:hAnsi="Times New Roman" w:eastAsia="Times New Roman" w:cs="Times New Roman"/>
      <w:sz w:val="24"/>
      <w:szCs w:val="24"/>
      <w:lang w:eastAsia="hu-HU"/>
    </w:rPr>
  </w:style>
  <w:style w:type="paragraph" w:styleId="ListParagraph">
    <w:name w:val="List Paragraph"/>
    <w:basedOn w:val="Normal"/>
    <w:uiPriority w:val="34"/>
    <w:qFormat/>
    <w:rsid w:val="00a2685d"/>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Application>LibreOffice/5.1.6.2$Linux_X86_64 LibreOffice_project/10m0$Build-2</Application>
  <Pages>12</Pages>
  <Words>6166</Words>
  <Characters>44759</Characters>
  <CharactersWithSpaces>50687</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2019-04-26T10:26:00Z</dcterms:created>
  <dc:creator>CARTEX_KI</dc:creator>
  <dc:description/>
  <dc:language>hu-HU</dc:language>
  <cp:lastModifiedBy/>
  <dcterms:modified xsi:type="dcterms:W3CDTF">2019-07-01T13:29:28Z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